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4A40" w:rsidRDefault="00934A40">
      <w:pPr>
        <w:rPr>
          <w:rtl/>
        </w:rPr>
      </w:pPr>
    </w:p>
    <w:p w:rsidR="00934A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44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440" inset="0,0,0,0">
              <w:txbxContent>
                <w:p w:rsidR="00C16A9E" w:rsidRDefault="00C16A9E">
                  <w:r>
                    <w:rPr>
                      <w:rtl/>
                    </w:rPr>
                    <w:t>28                                           ספר החוקים 196                   י"ט בשבט התשי"ו 01.02.1956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7441" o:spid="_x0000_s1026" type="#_x0000_t202" style="position:absolute;left:0;text-align:left;margin-left:63.5pt;margin-top:724.15pt;width:410.45pt;height:71.5pt;z-index:3;mso-position-horizontal-relative:page;mso-position-vertical-relative:page" stroked="f">
            <v:textbox style="mso-next-textbox:#_x0000_s7441" inset="0,0,0,0">
              <w:txbxContent>
                <w:p w:rsidR="00C16A9E" w:rsidRDefault="00C16A9E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נחקבל בכנסת ביום י"א בשבט תשט"ז (24 בינואר 1956); הצעת החוק ודברי הסבר נתפרסמו כה"ח</w:t>
                  </w:r>
                </w:p>
                <w:p w:rsidR="00C16A9E" w:rsidRDefault="00C16A9E">
                  <w:pPr>
                    <w:pStyle w:val="OCRStyle1"/>
                    <w:ind w:left="6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250, תשט"ז, עטי 14.</w:t>
                  </w:r>
                </w:p>
                <w:p w:rsidR="00C16A9E" w:rsidRPr="00934A40" w:rsidRDefault="00C16A9E">
                  <w:pPr>
                    <w:pStyle w:val="OCRStyle1"/>
                    <w:ind w:left="5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163, תשי"ד, עמ' .174</w:t>
                  </w:r>
                </w:p>
              </w:txbxContent>
            </v:textbox>
            <w10:wrap anchorx="page" anchory="page"/>
          </v:shape>
        </w:pict>
      </w:r>
      <w:r>
        <w:pict>
          <v:shape id="_x0000_s7442" o:spid="_x0000_s1027" type="#_x0000_t202" style="position:absolute;left:0;text-align:left;margin-left:64.5pt;margin-top:600.2pt;width:502.7pt;height:120pt;z-index:2;mso-position-horizontal-relative:page;mso-position-vertical-relative:page" stroked="f">
            <v:textbox style="mso-next-textbox:#_x0000_s744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1"/>
                    <w:gridCol w:w="1764"/>
                    <w:gridCol w:w="1364"/>
                  </w:tblGrid>
                  <w:tr w:rsidR="00C16A9E" w:rsidRPr="00934A40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C16A9E" w:rsidRPr="00934A40" w:rsidRDefault="00C16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אחרי סעיף 11 לחוק ההסגרה, תשי"ד-11954 (להלן - החוק העיקרי), יווסף סעיף זה: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16A9E" w:rsidRDefault="00C16A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C16A9E" w:rsidRPr="00934A40" w:rsidRDefault="00C16A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11א</w:t>
                        </w:r>
                      </w:p>
                    </w:tc>
                  </w:tr>
                  <w:tr w:rsidR="00C16A9E">
                    <w:trPr>
                      <w:jc w:val="right"/>
                    </w:trPr>
                    <w:tc>
                      <w:tcPr>
                        <w:tcW w:w="3289" w:type="pct"/>
                      </w:tcPr>
                      <w:p w:rsidR="00C16A9E" w:rsidRDefault="00C16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מבוקש שהוא באשם בעבירת הסגרה במדינה המבקשת והורשע</w:t>
                        </w:r>
                      </w:p>
                      <w:p w:rsidR="00C16A9E" w:rsidRDefault="00C16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בדינו בישראל על עבירה אחרת, מותר לעכב או להפסיק את ביצוע</w:t>
                        </w:r>
                      </w:p>
                      <w:p w:rsidR="00C16A9E" w:rsidRDefault="00C16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ענשו בישראל ולהסגירו למדינה המבקשת לשם נקיטת ההליכים הדרושים</w:t>
                        </w:r>
                      </w:p>
                      <w:p w:rsidR="00C16A9E" w:rsidRDefault="00C16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לשפטו על העבירה שעליה הוא מבוקש, בתנאי שיוחזר לישראל,</w:t>
                        </w:r>
                      </w:p>
                      <w:p w:rsidR="00C16A9E" w:rsidRDefault="00C16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לכשיידרש, לביצוע ענשו או לגמר ביצועו, במועד ובדרך שייקבע</w:t>
                        </w:r>
                      </w:p>
                      <w:p w:rsidR="00C16A9E" w:rsidRDefault="00C16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עם המדינה המבקשת או על פיו."</w:t>
                        </w:r>
                      </w:p>
                    </w:tc>
                    <w:tc>
                      <w:tcPr>
                        <w:tcW w:w="965" w:type="pct"/>
                      </w:tcPr>
                      <w:p w:rsidR="00C16A9E" w:rsidRDefault="00C16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 הסגרה זמנית</w:t>
                        </w:r>
                      </w:p>
                      <w:p w:rsidR="00C16A9E" w:rsidRPr="00934A40" w:rsidRDefault="00C16A9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מישראל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16A9E" w:rsidRDefault="00C16A9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16A9E" w:rsidRDefault="00C16A9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443" o:spid="_x0000_s1028" type="#_x0000_t202" style="position:absolute;left:0;text-align:left;margin-left:144.5pt;margin-top:564.15pt;width:235.2pt;height:29.5pt;z-index:1;mso-position-horizontal-relative:page;mso-position-vertical-relative:page" stroked="f">
            <v:textbox style="mso-next-textbox:#_x0000_s7443" inset="0,0,0,0">
              <w:txbxContent>
                <w:p w:rsidR="00C16A9E" w:rsidRPr="00934A40" w:rsidRDefault="00C16A9E">
                  <w:pPr>
                    <w:pStyle w:val="OCRStyle1"/>
                    <w:ind w:left="21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ההסגרה (תיקון), תשט"ז-1956 *</w:t>
                  </w:r>
                </w:p>
              </w:txbxContent>
            </v:textbox>
            <w10:wrap anchorx="page" anchory="page"/>
          </v:shape>
        </w:pict>
      </w:r>
    </w:p>
    <w:p w:rsidR="00C16A9E" w:rsidRDefault="00C16A9E">
      <w:pPr>
        <w:rPr>
          <w:rtl/>
        </w:rPr>
      </w:pPr>
      <w:r>
        <w:rPr>
          <w:rtl/>
        </w:rPr>
        <w:br w:type="page"/>
      </w:r>
    </w:p>
    <w:p w:rsidR="00C16A9E" w:rsidRDefault="00000000">
      <w:pPr>
        <w:rPr>
          <w:rtl/>
        </w:rPr>
      </w:pPr>
      <w:r>
        <w:pict>
          <v:shape id="_x0000_s744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7444" inset="0,0,0,0">
              <w:txbxContent>
                <w:p w:rsidR="00C16A9E" w:rsidRDefault="00C16A9E">
                  <w:r>
                    <w:rPr>
                      <w:rtl/>
                    </w:rPr>
                    <w:t>29                                           ספר החוקים 196                   י"ט בשבט התשי"ו 01.02.1956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7445" o:spid="_x0000_s1030" type="#_x0000_t202" style="position:absolute;left:0;text-align:left;margin-left:198.15pt;margin-top:352.65pt;width:83.95pt;height:37.4pt;z-index:8;mso-position-horizontal-relative:page;mso-position-vertical-relative:page" stroked="f">
            <v:textbox style="mso-next-textbox:#_x0000_s7445" inset="0,0,0,0">
              <w:txbxContent>
                <w:p w:rsidR="00C16A9E" w:rsidRDefault="00C16A9E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C16A9E" w:rsidRDefault="00C16A9E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446" o:spid="_x0000_s1031" type="#_x0000_t202" style="position:absolute;left:0;text-align:left;margin-left:312.2pt;margin-top:359pt;width:113.05pt;height:36.65pt;z-index:7;mso-position-horizontal-relative:page;mso-position-vertical-relative:page" stroked="f">
            <v:textbox style="mso-next-textbox:#_x0000_s7446" inset="0,0,0,0">
              <w:txbxContent>
                <w:p w:rsidR="00C16A9E" w:rsidRDefault="00C16A9E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16A9E" w:rsidRDefault="00C16A9E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47" o:spid="_x0000_s1032" type="#_x0000_t202" style="position:absolute;left:0;text-align:left;margin-left:464.65pt;margin-top:388.3pt;width:102.95pt;height:39.2pt;z-index:6;mso-position-horizontal-relative:page;mso-position-vertical-relative:page" stroked="f">
            <v:textbox style="mso-next-textbox:#_x0000_s7447" inset="0,0,0,0">
              <w:txbxContent>
                <w:p w:rsidR="00C16A9E" w:rsidRDefault="00C16A9E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16A9E" w:rsidRDefault="00C16A9E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48" o:spid="_x0000_s1033" type="#_x0000_t202" style="position:absolute;left:0;text-align:left;margin-left:89.05pt;margin-top:53.3pt;width:494.6pt;height:287.1pt;z-index:5;mso-position-horizontal-relative:page;mso-position-vertical-relative:page" stroked="f">
            <v:textbox style="mso-next-textbox:#_x0000_s744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6085"/>
                    <w:gridCol w:w="1540"/>
                  </w:tblGrid>
                  <w:tr w:rsidR="00C16A9E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C16A9E" w:rsidRDefault="00C16A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C16A9E" w:rsidRPr="00C16A9E" w:rsidRDefault="00C16A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20א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20 לחוק העיקרי יווסף סעיף זה:</w:t>
                        </w:r>
                      </w:p>
                    </w:tc>
                  </w:tr>
                  <w:tr w:rsidR="00C16A9E" w:rsidRPr="00C16A9E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מי שהוסגר לישראל בתנאי שיוחזר לאחר גמר ההליכים שלמענם</w:t>
                        </w:r>
                      </w:p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הוסגר לישראל/ מוסמך שר המשפטים לצוות על החזרתו, בדרך ובמועד</w:t>
                        </w:r>
                      </w:p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בהסכם עם המדינה המתבקשת, על אף כל עונש שיוטל על המוס-</w:t>
                        </w:r>
                      </w:p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 בישראל,"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C16A9E" w:rsidRPr="00C16A9E" w:rsidRDefault="00C16A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להחזרה</w:t>
                        </w:r>
                      </w:p>
                    </w:tc>
                  </w:tr>
                  <w:tr w:rsidR="00C16A9E" w:rsidRPr="00C16A9E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C16A9E" w:rsidRDefault="00C16A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C16A9E" w:rsidRPr="00C16A9E" w:rsidRDefault="00C16A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24א ו-24ב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C16A9E" w:rsidRP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24 לחוק העיקרי יווספו סעיפים אלה:</w:t>
                        </w:r>
                      </w:p>
                    </w:tc>
                  </w:tr>
                  <w:tr w:rsidR="00C16A9E" w:rsidRPr="00C16A9E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24א, שר המשפטים רשאי לצוות כי אדם המוסגר ממדינה למדינה</w:t>
                        </w:r>
                      </w:p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לו מעבר דרך מדינת ישראל' ובלבד שכין ישראל ובין המדינה</w:t>
                        </w:r>
                      </w:p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המקבלת קיים הסכם על מעבר מוסגרים ונתקיימו התנאים שנקבעו באותו</w:t>
                        </w:r>
                      </w:p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הסכם, ושאילו ביקשה המדינה המקבלת את הסגרתו של המבוקש, לא</w:t>
                        </w:r>
                      </w:p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מניעה חוקית לבקש הכרזתו כבר-הסגרה ולהסגירו.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,,צו על מעבר</w:t>
                        </w:r>
                      </w:p>
                      <w:p w:rsidR="00C16A9E" w:rsidRPr="00C16A9E" w:rsidRDefault="00C16A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מוסגרים</w:t>
                        </w:r>
                      </w:p>
                    </w:tc>
                  </w:tr>
                  <w:tr w:rsidR="00C16A9E" w:rsidRPr="00C16A9E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24כ. אדם שחל עליו צו לפי סעיף 20א או 24א מותר להחזיקו במש-</w:t>
                        </w:r>
                      </w:p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מורת בישראל לשם ביצוע ההחזרה או המעבר, להעבירו אל מחוץ לגבו-</w:t>
                        </w:r>
                      </w:p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 ישראל ולמסרו למדינה המקבלת, כאילו הוכרז בר-הסגרה לפי חוק</w:t>
                        </w:r>
                      </w:p>
                      <w:p w:rsidR="00C16A9E" w:rsidRDefault="00C16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וניתן עליו צו לפי סעיף 18."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C16A9E" w:rsidRDefault="00C16A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ההחזרה</w:t>
                        </w:r>
                      </w:p>
                      <w:p w:rsidR="00C16A9E" w:rsidRPr="00C16A9E" w:rsidRDefault="00C16A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המעבר</w:t>
                        </w:r>
                      </w:p>
                    </w:tc>
                  </w:tr>
                </w:tbl>
                <w:p w:rsidR="00C16A9E" w:rsidRDefault="00C16A9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34A4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47A73D-57C3-452F-BAE2-930BF4E77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4A4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16A9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2008-04-06T18:59:00Z</dcterms:created>
  <dcterms:modified xsi:type="dcterms:W3CDTF">2008-04-06T18:59:00Z</dcterms:modified>
</cp:coreProperties>
</file>