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C0603" w:rsidRDefault="009C0603">
      <w:pPr>
        <w:rPr>
          <w:rtl/>
        </w:rPr>
      </w:pPr>
    </w:p>
    <w:p w:rsidR="009C060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65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7659" inset="0,0,0,0">
              <w:txbxContent>
                <w:p w:rsidR="00B715AA" w:rsidRDefault="00B715AA">
                  <w:r>
                    <w:rPr>
                      <w:rtl/>
                    </w:rPr>
                    <w:t>156                                          ספר החוקים 976                      ה' באב התש"מ 18.07.1980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7660" o:spid="_x0000_s1026" type="#_x0000_t202" style="position:absolute;left:0;text-align:left;margin-left:86.6pt;margin-top:651.45pt;width:393.8pt;height:96.8pt;z-index:3;mso-position-horizontal-relative:page;mso-position-vertical-relative:page" stroked="f">
            <v:textbox style="mso-next-textbox:#_x0000_s7660" inset="0,0,0,0">
              <w:txbxContent>
                <w:p w:rsidR="00B715AA" w:rsidRDefault="00B715AA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בתמוז תש"ם (7 ביולי 1080); הגעת החוק ודברי הסבר פורסמו בה"ח 1428, תשים,</w:t>
                  </w:r>
                </w:p>
                <w:p w:rsidR="00B715AA" w:rsidRDefault="00B715AA">
                  <w:pPr>
                    <w:pStyle w:val="OCRStyle1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סמי 81.</w:t>
                  </w:r>
                </w:p>
                <w:p w:rsidR="00B715AA" w:rsidRDefault="00B715AA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1 ס"ח תשכ"א, עמ' 84; תשכ"ח, עמ' 30; תשל"ו, עמ' 78.</w:t>
                  </w:r>
                </w:p>
                <w:p w:rsidR="00B715AA" w:rsidRDefault="00B715AA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2 סיח תשכיח, עמ' 234; תשל"ח, עמ' .211</w:t>
                  </w:r>
                </w:p>
                <w:p w:rsidR="00B715AA" w:rsidRDefault="00B715AA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3 ס"ה  תשל"ה, עמ' 108, עמ' .206</w:t>
                  </w:r>
                </w:p>
                <w:p w:rsidR="00B715AA" w:rsidRPr="009C0603" w:rsidRDefault="00B715AA">
                  <w:pPr>
                    <w:pStyle w:val="OCRStyle1"/>
                    <w:ind w:left="4496"/>
                  </w:pPr>
                  <w:r>
                    <w:rPr>
                      <w:rtl/>
                    </w:rPr>
                    <w:t>ספר החוקים 976, ה' באב תש"ם, 18.7.1980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7661" o:spid="_x0000_s1027" type="#_x0000_t202" style="position:absolute;left:0;text-align:left;margin-left:91.75pt;margin-top:117.8pt;width:460.55pt;height:527.25pt;z-index:2;mso-position-horizontal-relative:page;mso-position-vertical-relative:page" stroked="f">
            <v:textbox style="mso-next-textbox:#_x0000_s766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57"/>
                    <w:gridCol w:w="1420"/>
                    <w:gridCol w:w="1296"/>
                  </w:tblGrid>
                  <w:tr w:rsidR="00B715AA" w:rsidRPr="009C0603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B715AA" w:rsidRDefault="00B715A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5 לחוק להשקעות משותפות כנאמנות, תשכ"א-1961  1(להלן - החוק העיקרי)'</w:t>
                        </w:r>
                      </w:p>
                      <w:p w:rsidR="00B715AA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"ממיליון לירות" יבוא "ממיליון שקלים" ובסופו יבוא:</w:t>
                        </w:r>
                      </w:p>
                      <w:p w:rsidR="00B715AA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חברה שמטרתה העיקרית לעסוק בנאמנויות' והיא</w:t>
                        </w:r>
                      </w:p>
                      <w:p w:rsidR="00B715AA" w:rsidRPr="009C0603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אושרה לצורך זה בידי שר האוצר."</w:t>
                        </w:r>
                      </w:p>
                    </w:tc>
                    <w:tc>
                      <w:tcPr>
                        <w:tcW w:w="774" w:type="pct"/>
                      </w:tcPr>
                      <w:p w:rsidR="00B715AA" w:rsidRPr="009C0603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B715AA" w:rsidRPr="009C0603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B715AA" w:rsidRPr="009C0603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6 לחוק העיקרי, במקום "ממאה אלף לירות" יבוא "מחמישים אלף שקלים".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B715AA" w:rsidRPr="009C0603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B715AA" w:rsidRPr="009C0603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B715AA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האמור בסעיף 8 לחוק העיקרי יסומן (א) ואחריו יבוא:</w:t>
                        </w:r>
                      </w:p>
                      <w:p w:rsidR="00B715AA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לא יאשר שר האוצר הסכם נאמנות אם מנהל הקרן והנאמן</w:t>
                        </w:r>
                      </w:p>
                      <w:p w:rsidR="00B715AA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הן חברות קשורות או כאשר לא מובטחת לדעתו ההפרדה כין מנהל הקרן</w:t>
                        </w:r>
                      </w:p>
                      <w:p w:rsidR="00B715AA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הנאמן.</w:t>
                        </w:r>
                      </w:p>
                      <w:p w:rsidR="00B715AA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 -</w:t>
                        </w:r>
                      </w:p>
                      <w:p w:rsidR="00B715AA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"חברות קשורות" - חברות שמרבית מנהליה של החברה האחת מכהנים</w:t>
                        </w:r>
                      </w:p>
                      <w:p w:rsidR="00B715AA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כמנהלים גם בחברה השניה או בחברת בת שלה או בחברה שלובה שלה</w:t>
                        </w:r>
                      </w:p>
                      <w:p w:rsidR="00B715AA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(לכל אלה ייקרא להלן - החכרה האחרת) או שלחברה האחת כוח</w:t>
                        </w:r>
                      </w:p>
                      <w:p w:rsidR="00B715AA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השפעה על החברה האחרת' וכן חברות שלחברה שלישית כוח השפעה</w:t>
                        </w:r>
                      </w:p>
                      <w:p w:rsidR="00B715AA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אחת מהן?</w:t>
                        </w:r>
                      </w:p>
                      <w:p w:rsidR="00B715AA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"כוח השפעה"' על חברה - החזקה כעשרה אחוזים או יותר מן הערך</w:t>
                        </w:r>
                      </w:p>
                      <w:p w:rsidR="00B715AA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של הון המניות המוצא שלה או מכוח ההצבעה שבה' או בסמכות</w:t>
                        </w:r>
                      </w:p>
                      <w:p w:rsidR="00B715AA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 עשרה אחוזים לפחות ממנהליה של החברה או את מנהלה הכללי;</w:t>
                        </w:r>
                      </w:p>
                      <w:p w:rsidR="00B715AA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 בת"' "חברה שלובה" ו"החזקה" - כהגדרתן כחוק ניירות ערך,</w:t>
                        </w:r>
                      </w:p>
                      <w:p w:rsidR="00B715AA" w:rsidRPr="009C0603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תשכ"ח-1968 2".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B715AA" w:rsidRPr="009C0603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B715AA" w:rsidRPr="009C0603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B715AA" w:rsidRPr="009C0603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אחרי סעיף 14 לחוק העיקרי יבוא:</w:t>
                        </w:r>
                      </w:p>
                    </w:tc>
                    <w:tc>
                      <w:tcPr>
                        <w:tcW w:w="774" w:type="pct"/>
                      </w:tcPr>
                      <w:p w:rsidR="00B715AA" w:rsidRPr="009C0603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14א</w:t>
                        </w:r>
                      </w:p>
                    </w:tc>
                  </w:tr>
                  <w:tr w:rsidR="00B715AA">
                    <w:trPr>
                      <w:jc w:val="right"/>
                    </w:trPr>
                    <w:tc>
                      <w:tcPr>
                        <w:tcW w:w="3378" w:type="pct"/>
                      </w:tcPr>
                      <w:p w:rsidR="00B715AA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14א. שר האוצר' כאישור ועדת הכספים של הכנסת' רשאי לקבוע -</w:t>
                        </w:r>
                      </w:p>
                      <w:p w:rsidR="00B715AA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כלל' לסוגי קרנות או בהתחשב בהרכב השקעותיהן ערב תחילתו של</w:t>
                        </w:r>
                      </w:p>
                      <w:p w:rsidR="00B715AA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להשקעות משותפות בנאמנות (תיקון מס' 3)' תש"ם-1930 - את</w:t>
                        </w:r>
                      </w:p>
                      <w:p w:rsidR="00B715AA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 המזומנים שרשאי מנהל הקרן להחזיק במטבע חוץ כמשמעותו בחוק</w:t>
                        </w:r>
                      </w:p>
                      <w:p w:rsidR="00B715AA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הפיקוח על המטבע' תשל"ח-31978".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715AA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"הגבלת החזקת</w:t>
                        </w:r>
                      </w:p>
                      <w:p w:rsidR="00B715AA" w:rsidRPr="009C0603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חוץ</w:t>
                        </w:r>
                      </w:p>
                    </w:tc>
                    <w:tc>
                      <w:tcPr>
                        <w:tcW w:w="774" w:type="pct"/>
                      </w:tcPr>
                      <w:p w:rsidR="00B715AA" w:rsidRDefault="00B715A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715AA" w:rsidRPr="009C0603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B715AA" w:rsidRPr="009C0603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50 לחוק העיקרי יבוא:</w:t>
                        </w:r>
                      </w:p>
                    </w:tc>
                    <w:tc>
                      <w:tcPr>
                        <w:tcW w:w="774" w:type="pct"/>
                      </w:tcPr>
                      <w:p w:rsidR="00B715AA" w:rsidRPr="009C0603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50א</w:t>
                        </w:r>
                      </w:p>
                    </w:tc>
                  </w:tr>
                  <w:tr w:rsidR="00B715AA">
                    <w:trPr>
                      <w:jc w:val="right"/>
                    </w:trPr>
                    <w:tc>
                      <w:tcPr>
                        <w:tcW w:w="3378" w:type="pct"/>
                      </w:tcPr>
                      <w:p w:rsidR="00B715AA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50א. (א) שר האוצר' כאישור ועדת הכספים של הכנסת' רשאי לקבוע</w:t>
                        </w:r>
                      </w:p>
                      <w:p w:rsidR="00B715AA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בדבר חובותיהם של הנאמן ושל מנהל הקרן.</w:t>
                        </w:r>
                      </w:p>
                      <w:p w:rsidR="00B715AA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מילאו הנאמן או מנהל הקרן את חובותיהם על פי חוק זה</w:t>
                        </w:r>
                      </w:p>
                      <w:p w:rsidR="00B715AA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התקנות לפיו' רשאי שר האוצר להורות על הפסקת המכירה של יחידות</w:t>
                        </w:r>
                      </w:p>
                      <w:p w:rsidR="00B715AA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הקרן."</w:t>
                        </w:r>
                      </w:p>
                    </w:tc>
                    <w:tc>
                      <w:tcPr>
                        <w:tcW w:w="848" w:type="pct"/>
                      </w:tcPr>
                      <w:p w:rsidR="00B715AA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''כללים בדבר</w:t>
                        </w:r>
                      </w:p>
                      <w:p w:rsidR="00B715AA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חובותיהם של</w:t>
                        </w:r>
                      </w:p>
                      <w:p w:rsidR="00B715AA" w:rsidRPr="009C0603" w:rsidRDefault="00B715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הנאמן ומנחל הקרן</w:t>
                        </w:r>
                      </w:p>
                    </w:tc>
                    <w:tc>
                      <w:tcPr>
                        <w:tcW w:w="774" w:type="pct"/>
                      </w:tcPr>
                      <w:p w:rsidR="00B715AA" w:rsidRDefault="00B715A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715AA" w:rsidRDefault="00B715A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662" o:spid="_x0000_s1028" type="#_x0000_t202" style="position:absolute;left:0;text-align:left;margin-left:110.55pt;margin-top:85.55pt;width:336.6pt;height:23.95pt;z-index:1;mso-position-horizontal-relative:page;mso-position-vertical-relative:page" stroked="f">
            <v:textbox style="mso-next-textbox:#_x0000_s7662" inset="0,0,0,0">
              <w:txbxContent>
                <w:p w:rsidR="00B715AA" w:rsidRPr="009C0603" w:rsidRDefault="00B715AA">
                  <w:pPr>
                    <w:pStyle w:val="OCRStyle1"/>
                    <w:ind w:left="8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להשקעות משותפות בנאמנות (תיקון מס' 3), תש"ם-1980*</w:t>
                  </w:r>
                </w:p>
              </w:txbxContent>
            </v:textbox>
            <w10:wrap anchorx="page" anchory="page"/>
          </v:shape>
        </w:pict>
      </w:r>
    </w:p>
    <w:p w:rsidR="00B715AA" w:rsidRDefault="00B715AA">
      <w:pPr>
        <w:rPr>
          <w:rtl/>
        </w:rPr>
      </w:pPr>
      <w:r>
        <w:rPr>
          <w:rtl/>
        </w:rPr>
        <w:br w:type="page"/>
      </w:r>
    </w:p>
    <w:p w:rsidR="00B715AA" w:rsidRDefault="00000000">
      <w:pPr>
        <w:rPr>
          <w:rtl/>
        </w:rPr>
      </w:pPr>
      <w:r>
        <w:pict>
          <v:shape id="_x0000_s7663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7663" inset="0,0,0,0">
              <w:txbxContent>
                <w:p w:rsidR="00B715AA" w:rsidRDefault="00B715AA">
                  <w:r>
                    <w:rPr>
                      <w:rtl/>
                    </w:rPr>
                    <w:t>157                                          ספר החוקים 976                      ה' באב התש"מ 18.07.1980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7664" o:spid="_x0000_s1030" type="#_x0000_t202" style="position:absolute;left:0;text-align:left;margin-left:154.75pt;margin-top:204.7pt;width:105.15pt;height:47.9pt;z-index:8;mso-position-horizontal-relative:page;mso-position-vertical-relative:page" stroked="f">
            <v:textbox style="mso-next-textbox:#_x0000_s7664" inset="0,0,0,0">
              <w:txbxContent>
                <w:p w:rsidR="00B715AA" w:rsidRDefault="00B715AA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יגאל הורביץ</w:t>
                  </w:r>
                </w:p>
                <w:p w:rsidR="00B715AA" w:rsidRDefault="00B715AA">
                  <w:pPr>
                    <w:pStyle w:val="OCRStyle2"/>
                    <w:ind w:left="48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7665" o:spid="_x0000_s1031" type="#_x0000_t202" style="position:absolute;left:0;text-align:left;margin-left:276.5pt;margin-top:205.7pt;width:124.15pt;height:52.05pt;z-index:7;mso-position-horizontal-relative:page;mso-position-vertical-relative:page" stroked="f">
            <v:textbox style="mso-next-textbox:#_x0000_s7665" inset="0,0,0,0">
              <w:txbxContent>
                <w:p w:rsidR="00B715AA" w:rsidRDefault="00B715AA">
                  <w:pPr>
                    <w:pStyle w:val="OCRStyle2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יגאל ידין</w:t>
                  </w:r>
                </w:p>
                <w:p w:rsidR="00B715AA" w:rsidRDefault="00B715AA">
                  <w:pPr>
                    <w:pStyle w:val="OCRStyle2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B715AA" w:rsidRDefault="00B715AA">
                  <w:pPr>
                    <w:pStyle w:val="OCRStyle2"/>
                    <w:ind w:left="140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666" o:spid="_x0000_s1032" type="#_x0000_t202" style="position:absolute;left:0;text-align:left;margin-left:445.4pt;margin-top:244.3pt;width:80.2pt;height:40.6pt;z-index:6;mso-position-horizontal-relative:page;mso-position-vertical-relative:page" stroked="f">
            <v:textbox style="mso-next-textbox:#_x0000_s7666" inset="0,0,0,0">
              <w:txbxContent>
                <w:p w:rsidR="00B715AA" w:rsidRDefault="00B715AA">
                  <w:pPr>
                    <w:pStyle w:val="OCRStyle2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B715AA" w:rsidRDefault="00B715AA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667" o:spid="_x0000_s1033" type="#_x0000_t202" style="position:absolute;left:0;text-align:left;margin-left:80.7pt;margin-top:88.1pt;width:453.2pt;height:105.15pt;z-index:5;mso-position-horizontal-relative:page;mso-position-vertical-relative:page" stroked="f">
            <v:textbox style="mso-next-textbox:#_x0000_s766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8"/>
                    <w:gridCol w:w="7051"/>
                  </w:tblGrid>
                  <w:tr w:rsidR="00B715AA" w:rsidRPr="00B715AA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B715AA" w:rsidRPr="00B715AA" w:rsidRDefault="00B715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מעני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B715AA" w:rsidRDefault="00B715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מיום כ' באלול תש"ם (1 בספטמבר 1980) לא יותר פרסום תשקיף בידי קרן הפועלת</w:t>
                        </w:r>
                      </w:p>
                      <w:p w:rsidR="00B715AA" w:rsidRDefault="00B715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הסכם נאמנות שאישר שר האוצר לפני יום פרסומו של חוק זה' אלא אם מנהל הקרן</w:t>
                        </w:r>
                      </w:p>
                      <w:p w:rsidR="00B715AA" w:rsidRDefault="00B715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והנאמן אינם חברות קשורות ומובטחת לדעת שר האוצר ההפרדה ביניהם. או שיש לקרן</w:t>
                        </w:r>
                      </w:p>
                      <w:p w:rsidR="00B715AA" w:rsidRDefault="00B715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נאמנים החייבים לפעול יחד ואחד מהם לפחות הוא חברה שאינה קשורה למנהל'</w:t>
                        </w:r>
                      </w:p>
                      <w:p w:rsidR="00B715AA" w:rsidRPr="00B715AA" w:rsidRDefault="00B715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ונפרדת ממנו.</w:t>
                        </w:r>
                      </w:p>
                    </w:tc>
                  </w:tr>
                  <w:tr w:rsidR="00B715AA" w:rsidRPr="00B715AA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B715AA" w:rsidRDefault="00B715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B715AA" w:rsidRPr="00B715AA" w:rsidRDefault="00B715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חוק זה יפורסם ברשומות תוך שלושים יום מיום קבלתו.</w:t>
                        </w:r>
                      </w:p>
                    </w:tc>
                  </w:tr>
                </w:tbl>
                <w:p w:rsidR="00B715AA" w:rsidRDefault="00B715A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C060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0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D86DD98-7D2B-434D-905D-797701BAF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C060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715A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2008-04-07T00:16:00Z</dcterms:created>
  <dcterms:modified xsi:type="dcterms:W3CDTF">2008-04-07T00:16:00Z</dcterms:modified>
</cp:coreProperties>
</file>