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7CD5" w:rsidRDefault="00EE7CD5">
      <w:pPr>
        <w:rPr>
          <w:rtl/>
        </w:rPr>
      </w:pPr>
    </w:p>
    <w:p w:rsidR="00EE7CD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91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7915" inset="0,0,0,0">
              <w:txbxContent>
                <w:p w:rsidR="00FB2A3B" w:rsidRDefault="00FB2A3B">
                  <w:r>
                    <w:rPr>
                      <w:rtl/>
                    </w:rPr>
                    <w:t>40                                           ספר החוקים 68                  ט' באדר א' התשי"א 15.02.1951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7916" o:spid="_x0000_s1026" type="#_x0000_t202" style="position:absolute;left:0;text-align:left;margin-left:88.2pt;margin-top:726.1pt;width:401.35pt;height:58.2pt;z-index:4;mso-position-horizontal-relative:page;mso-position-vertical-relative:page" stroked="f">
            <v:textbox style="mso-next-textbox:#_x0000_s7916" inset="0,0,0,0">
              <w:txbxContent>
                <w:p w:rsidR="00FB2A3B" w:rsidRDefault="00FB2A3B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כ"ט בשבט תשי"א (5 בפברואר 1951); הצעת החוק ודברי הסבר נתפרסמו</w:t>
                  </w:r>
                </w:p>
                <w:p w:rsidR="00FB2A3B" w:rsidRPr="00EE7CD5" w:rsidRDefault="00FB2A3B">
                  <w:pPr>
                    <w:pStyle w:val="OCRStyle1"/>
                    <w:ind w:left="58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50 מיום כ"ט בתמוז תש"י (14.7.50), עט' 209.</w:t>
                  </w:r>
                </w:p>
              </w:txbxContent>
            </v:textbox>
            <w10:wrap anchorx="page" anchory="page"/>
          </v:shape>
        </w:pict>
      </w:r>
      <w:r>
        <w:pict>
          <v:shape id="_x0000_s7917" o:spid="_x0000_s1027" type="#_x0000_t202" style="position:absolute;left:0;text-align:left;margin-left:88.2pt;margin-top:142pt;width:489.25pt;height:583.1pt;z-index:3;mso-position-horizontal-relative:page;mso-position-vertical-relative:page" stroked="f">
            <v:textbox style="mso-next-textbox:#_x0000_s791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2"/>
                    <w:gridCol w:w="1512"/>
                  </w:tblGrid>
                  <w:tr w:rsidR="00FB2A3B" w:rsidRPr="00EE7CD5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FB2A3B" w:rsidRDefault="00FB2A3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זה, "עבירה נגד המשק" פירושו - עבירה על אחד החוקים המפורטים בתוספת</w:t>
                        </w:r>
                      </w:p>
                      <w:p w:rsidR="00FB2A3B" w:rsidRPr="00EE7CD5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FB2A3B" w:rsidRDefault="00FB2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עבירה נגד</w:t>
                        </w:r>
                      </w:p>
                      <w:p w:rsidR="00FB2A3B" w:rsidRPr="00EE7CD5" w:rsidRDefault="00FB2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המשק</w:t>
                        </w:r>
                      </w:p>
                    </w:tc>
                  </w:tr>
                  <w:tr w:rsidR="00FB2A3B" w:rsidRPr="00EE7CD5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FB2A3B" w:rsidRDefault="00FB2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בית דין למניעת הפקעת שערים וספסרות (להלן - בית דין) יוקם -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ליד כל בית משפט מחוזי;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ליד כל בית משפט שלום ששר המשפטים הורה, בצו שפורסם ברשומות,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יוקם לידו בית דין.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מושבו ותחום שיפוטו של בית דין יהיה כמקום מושבו וכתחום שיפוטו של</w:t>
                        </w:r>
                      </w:p>
                      <w:p w:rsidR="00FB2A3B" w:rsidRPr="00EE7CD5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שלידו הוקם.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FB2A3B" w:rsidRDefault="00FB2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הלומת בתי דין :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למניעת הפקעת</w:t>
                        </w:r>
                      </w:p>
                      <w:p w:rsidR="00FB2A3B" w:rsidRPr="00EE7CD5" w:rsidRDefault="00FB2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שערים וספסרות</w:t>
                        </w:r>
                      </w:p>
                    </w:tc>
                  </w:tr>
                  <w:tr w:rsidR="00FB2A3B" w:rsidRPr="00EE7CD5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FB2A3B" w:rsidRDefault="00FB2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בית דין ידון בשלושה: אב בית הדין ושני נציגי ציבור.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כאב בית הדין ישמש שופט של בית המשפט שלידו הוקם בית הדין.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כנציגי ציבור ישמשו אנשים שנתמנו על ידי שר המשפטים, מתוך רשימות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שהוגשו לו על ידי רשויות מקומיות, להיות נציגי ציבור לצורך חוק זה. הודעה</w:t>
                        </w:r>
                      </w:p>
                      <w:p w:rsidR="00FB2A3B" w:rsidRPr="00EE7CD5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מינוי נציגי ציבור תפורסם ברשומות.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FB2A3B" w:rsidRPr="00EE7CD5" w:rsidRDefault="00FB2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בית הדין</w:t>
                        </w:r>
                      </w:p>
                    </w:tc>
                  </w:tr>
                  <w:tr w:rsidR="00FB2A3B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רשות מקומית תרכיב את רשימת המועמדים הנזכרת בסעיף קטן (ג) כך שיהיו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מיוצגים ברשימה הגורמים והחוגים הציבוריים המיוצגים במועצה של אותה רשות מקומית.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תקפו של מינוי של נציג ציבור יהיה מיום תום ארבעה-עשר יום לאחר שהודעה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המינוי נתפרסמה ברשומות ; ומי שתוך מועד זה הודיע בכתב לשר המשפטים כי אין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רוצה לשמש נציג ציבור, יפרסם שר המשפטים הודעה על כך ברשומות ואז יראו את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מינויו כבטל מלכתחילה.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B2A3B" w:rsidRPr="00EE7CD5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בית דין מוסמך לדון בכל עבירה נגד המשק.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&lt;א) אינו בא לגרוע מכל סמכות לדון בעבירה נגד המשק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הנתונה לבית משפט אחר על פי כל חוק אחר.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FB2A3B" w:rsidRDefault="00FB2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בית</w:t>
                        </w:r>
                      </w:p>
                      <w:p w:rsidR="00FB2A3B" w:rsidRPr="00EE7CD5" w:rsidRDefault="00FB2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</w:t>
                        </w:r>
                      </w:p>
                    </w:tc>
                  </w:tr>
                  <w:tr w:rsidR="00FB2A3B" w:rsidRPr="00EE7CD5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FB2A3B" w:rsidRDefault="00FB2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נאשם שיצא חייב בבית דין על עבירה נגד המשק, דינו, על אף האמור בכל חוק</w:t>
                        </w:r>
                      </w:p>
                      <w:p w:rsidR="00FB2A3B" w:rsidRPr="00EE7CD5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מאסר עד שבע שנים או קנס עד עשרת אלפים לירות, או שני הענשים כאחד.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FB2A3B" w:rsidRPr="00EE7CD5" w:rsidRDefault="00FB2A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</w:tr>
                  <w:tr w:rsidR="00FB2A3B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נאשם אשר, לאחר שכבר נתחייב קודם לכן על עבירה נגד המשק, יצא מלפני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חייב בדינו על עבירה חדשה תוך שלוש שנים מיום שנתחייב בדין על העבירה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הקודמת, דינו - מאסר לתקופה שלא פחות משבועיים; אך בית הדין יהיה רשאי, בשים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 לנסיבות מקילות שיצוינו בפסק הדין, להטיל עונש מאסר לתקופה קצרה יותר או לא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עונש מאסר כלל.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B2A3B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נוסף על הענשים שבית דין מוסמך להטילם לפי סעיפים קטנים (א) ו-(ב), רשאי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לצוות: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מלאי הסחורות של הנאשם שבהן נעברה העבירה, או הפדיון ממכירתן,</w:t>
                        </w:r>
                      </w:p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יוחרם, כולו או מקצתו;</w:t>
                        </w:r>
                      </w:p>
                    </w:tc>
                    <w:tc>
                      <w:tcPr>
                        <w:tcW w:w="850" w:type="pct"/>
                      </w:tcPr>
                      <w:p w:rsidR="00FB2A3B" w:rsidRDefault="00FB2A3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B2A3B" w:rsidRDefault="00FB2A3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918" o:spid="_x0000_s1028" type="#_x0000_t202" style="position:absolute;left:0;text-align:left;margin-left:121.3pt;margin-top:119.45pt;width:345.1pt;height:18pt;z-index:2;mso-position-horizontal-relative:page;mso-position-vertical-relative:page" stroked="f">
            <v:textbox style="mso-next-textbox:#_x0000_s7918" inset="0,0,0,0">
              <w:txbxContent>
                <w:p w:rsidR="00FB2A3B" w:rsidRPr="00EE7CD5" w:rsidRDefault="00FB2A3B">
                  <w:pPr>
                    <w:pStyle w:val="OCRStyle1"/>
                    <w:ind w:left="140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למניעת הפקעת שערים וספסרות (שיפוט), תשי"א-1951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7919" o:spid="_x0000_s1029" type="#_x0000_t202" style="position:absolute;left:0;text-align:left;margin-left:516.5pt;margin-top:75.7pt;width:59.2pt;height:14.25pt;z-index:1;mso-position-horizontal-relative:page;mso-position-vertical-relative:page" stroked="f">
            <v:textbox style="mso-next-textbox:#_x0000_s7919" inset="0,0,0,0">
              <w:txbxContent>
                <w:p w:rsidR="00FB2A3B" w:rsidRDefault="00FB2A3B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מספר 16</w:t>
                  </w:r>
                </w:p>
              </w:txbxContent>
            </v:textbox>
            <w10:wrap anchorx="page" anchory="page"/>
          </v:shape>
        </w:pict>
      </w:r>
    </w:p>
    <w:p w:rsidR="000D6A43" w:rsidRDefault="000D6A43">
      <w:pPr>
        <w:rPr>
          <w:rtl/>
        </w:rPr>
      </w:pPr>
      <w:r>
        <w:rPr>
          <w:rtl/>
        </w:rPr>
        <w:br w:type="page"/>
      </w:r>
    </w:p>
    <w:p w:rsidR="000D6A43" w:rsidRDefault="00000000">
      <w:pPr>
        <w:rPr>
          <w:rtl/>
        </w:rPr>
      </w:pPr>
      <w:r>
        <w:pict>
          <v:shape id="_x0000_s7920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7920" inset="0,0,0,0">
              <w:txbxContent>
                <w:p w:rsidR="00FB2A3B" w:rsidRDefault="00FB2A3B">
                  <w:r>
                    <w:rPr>
                      <w:rtl/>
                    </w:rPr>
                    <w:t>41                                           ספר החוקים 68                  ט' באדר א' התשי"א 15.02.1951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7921" o:spid="_x0000_s1031" type="#_x0000_t202" style="position:absolute;left:0;text-align:left;margin-left:369.3pt;margin-top:763.75pt;width:180.2pt;height:22.35pt;z-index:7;mso-position-horizontal-relative:page;mso-position-vertical-relative:page" stroked="f">
            <v:textbox style="mso-next-textbox:#_x0000_s7921" inset="0,0,0,0">
              <w:txbxContent>
                <w:p w:rsidR="00FB2A3B" w:rsidRDefault="00FB2A3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922" o:spid="_x0000_s1032" type="#_x0000_t202" style="position:absolute;left:0;text-align:left;margin-left:79.05pt;margin-top:73.95pt;width:480.35pt;height:685.3pt;z-index:6;mso-position-horizontal-relative:page;mso-position-vertical-relative:page" stroked="f">
            <v:textbox style="mso-next-textbox:#_x0000_s792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7492"/>
                  </w:tblGrid>
                  <w:tr w:rsidR="00FB2A3B" w:rsidRPr="000D6A43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9" w:type="pct"/>
                      </w:tcPr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בית העסק של הנאשם, שבקשר אליו נעברה העבירה, ייסגר לתקופה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בית הדין ;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כי רשיון שניתן לנאשם יבוטל' או יופסק תקפו לתקופה שיקבע בית הדין ;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כי ריווח מופרז שבא לידי הנאשם בקשר לעבירה יוחזר לאדם שממנו נתקבל,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יוחרם, כולו או מקצתו ; אך בית הדין לא יצווה על החרמת ריווח מופרז אלא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שנתן לאדם שממנו נתקבל הזדמנות להשמיע את דברו ;</w:t>
                        </w:r>
                      </w:p>
                      <w:p w:rsidR="00FB2A3B" w:rsidRPr="000D6A43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כי אמצעי הובלה, שהוא קנין הנאשם וששימש מכשיר לביצוע העבירה, יוחרם.</w:t>
                        </w:r>
                      </w:p>
                    </w:tc>
                  </w:tr>
                  <w:tr w:rsidR="00FB2A3B" w:rsidRPr="000D6A43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FB2A3B" w:rsidRPr="000D6A43" w:rsidRDefault="00FB2A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פסקי דין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FB2A3B" w:rsidRDefault="00FB2A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בית דין רשאי לצוות שפסק דין או תמציתו יפורסמו ברבים, בצורה ובאופן שיקבע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הדין; בית הדין יורה אז מי ישא בהוצאות הפרסום; ואם הורה שהנאשם ישא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הפרסום, יהיה דינן כדין קנס שהוטל על ידי בית הדין.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ציווה בית דין על פרסום פסק הדין או תמציתו, יצויין בפסק הדין או בתמצית</w:t>
                        </w:r>
                      </w:p>
                      <w:p w:rsidR="00FB2A3B" w:rsidRPr="000D6A43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המתפרסמת, שפסק הדין ניתן לערעור.</w:t>
                        </w:r>
                      </w:p>
                    </w:tc>
                  </w:tr>
                  <w:tr w:rsidR="00FB2A3B" w:rsidRPr="000D6A43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FB2A3B" w:rsidRPr="000D6A43" w:rsidRDefault="00FB2A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הדין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FB2A3B" w:rsidRDefault="00FB2A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לא יוגש כתב אשמה לבית דין אלא על ידי היועץ המשפטי לממשלת ישראל או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בא כחו.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דין לא ייזקק לטענת פגם בהזמנת הנאשם או בכתב האשמה, בצורתם או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בתכנם, אם יראה, מסיבות שעליו לפרטן בצו, שאי-הזדקקות לטענה אינה עלולה לגרום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לעיוות הדין.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דין רשאי לסטות מדיני הראיה, אם הוא משוכנע שהדבר יועיל לגילוי האמת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ולעשיית משפט צדק; החליט בית הדין לסטות מדיני הראיה כאמור, ירשום את הטעמים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שהניעוהו להחלטתו.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דין יחליט פה אחד או ברוב דעות,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במידה שלא נקבעה הוראה אחרת בחוק זה או בתקנות שהותקנו לפיו -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בבית דין שליד בית משפט מחוזי יחולו סדרי הדין הנוהגים במשפט פלילי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משפט מחוזי בדיון מהיר ;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בבית דין שליד בית משפט שלום יחולו סדרי הדין הנוהגים במשפט פלילי</w:t>
                        </w:r>
                      </w:p>
                      <w:p w:rsidR="00FB2A3B" w:rsidRPr="000D6A43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משפט שלום.</w:t>
                        </w:r>
                      </w:p>
                    </w:tc>
                  </w:tr>
                  <w:tr w:rsidR="00FB2A3B" w:rsidRPr="000D6A43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FB2A3B" w:rsidRPr="000D6A43" w:rsidRDefault="00FB2A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צווים זמניים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FB2A3B" w:rsidRDefault="00FB2A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הוגש כתב אשמה לבית דין, רשאי אב בית הדין - על פי בקשת היועץ המשפטי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לממשלת ישראל או בא כוחו - לצוות שבית העסק של הנאשם אשר בקשר אליו נעברה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שבה הוא נאשם, ייסגר לתקופה שאינה עולה על שלושה ימים.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אב בית הדין רשאי מדי פעם בפעם - על פי בקשת היועץ המשפטי לממשלת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או בא כוחו - להאריך תקפו של צו שניתן לפי סעיף קטן (א), לתקופה מסויימת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עד לסיום בירור המשפט ו אך אב בית הדין לא יאריך תקפו של צו, כאמור, אלא אחרי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לנאשם הזדמנות להשמיע את דברו.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עוד צו שניתן כאמור עומד בתקפו, רשאי אב בית הדין, בכל עת לפני סיום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המשפט, לבטל את הצו, על פי בקשת הנאשם, אחרי שנתן ליועץ המשפטי לממשלת</w:t>
                        </w:r>
                      </w:p>
                      <w:p w:rsidR="00FB2A3B" w:rsidRPr="000D6A43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או לבא כוחו הזדמנות להשמיע את דברו.</w:t>
                        </w:r>
                      </w:p>
                    </w:tc>
                  </w:tr>
                  <w:tr w:rsidR="00FB2A3B" w:rsidRPr="000D6A43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FB2A3B" w:rsidRPr="000D6A43" w:rsidRDefault="00FB2A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FB2A3B" w:rsidRDefault="00FB2A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פסק דין של בית דין ניתן לערעור בהתאם להוראות הנוגעות לערעור על פסק דין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במשפט פלילי על ידי בית המשפט שלידו הוקם בית הדין.</w:t>
                        </w:r>
                      </w:p>
                      <w:p w:rsidR="00FB2A3B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ציווה בית דין לפרסם פסק דין ברבים, רשאי בית משפט הדן בערעור באותו ענין,</w:t>
                        </w:r>
                      </w:p>
                      <w:p w:rsidR="00FB2A3B" w:rsidRPr="000D6A43" w:rsidRDefault="00FB2A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שפסק דינו יפורסם ברבים בצורה ובאופן שיקבע בית המשפט ; בית הדין יורה אז</w:t>
                        </w:r>
                      </w:p>
                    </w:tc>
                  </w:tr>
                </w:tbl>
                <w:p w:rsidR="00FB2A3B" w:rsidRDefault="00FB2A3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24468" w:rsidRDefault="00E24468">
      <w:pPr>
        <w:rPr>
          <w:rtl/>
        </w:rPr>
      </w:pPr>
      <w:r>
        <w:rPr>
          <w:rtl/>
        </w:rPr>
        <w:br w:type="page"/>
      </w:r>
    </w:p>
    <w:p w:rsidR="00E24468" w:rsidRDefault="00000000">
      <w:pPr>
        <w:rPr>
          <w:rtl/>
        </w:rPr>
      </w:pPr>
      <w:r>
        <w:pict>
          <v:shape id="_x0000_s7923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7923" inset="0,0,0,0">
              <w:txbxContent>
                <w:p w:rsidR="00FB2A3B" w:rsidRDefault="00FB2A3B">
                  <w:r>
                    <w:rPr>
                      <w:rtl/>
                    </w:rPr>
                    <w:t>42                                           ספר החוקים 68                  ט' באדר א' התשי"א 15.02.1951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7924" o:spid="_x0000_s1034" type="#_x0000_t202" style="position:absolute;left:0;text-align:left;margin-left:83.85pt;margin-top:708.15pt;width:401.55pt;height:82.55pt;z-index:10;mso-position-horizontal-relative:page;mso-position-vertical-relative:page" stroked="f">
            <v:textbox style="mso-next-textbox:#_x0000_s7924" inset="0,0,0,0">
              <w:txbxContent>
                <w:p w:rsidR="00FB2A3B" w:rsidRDefault="00FB2A3B">
                  <w:pPr>
                    <w:pStyle w:val="OCRStyle3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14 מיום ו' באב תש"ח (11.8.48), תוס' א', עמ' 27.</w:t>
                  </w:r>
                </w:p>
                <w:p w:rsidR="00FB2A3B" w:rsidRDefault="00FB2A3B">
                  <w:pPr>
                    <w:pStyle w:val="OCRStyle3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60 מיום כ"ב בחשון תשי"א (2.11.30), עמ' .2</w:t>
                  </w:r>
                </w:p>
                <w:p w:rsidR="00FB2A3B" w:rsidRDefault="00FB2A3B">
                  <w:pPr>
                    <w:pStyle w:val="OCRStyle3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קובץ התקנות 71 מיום ז' באדר תש"י (24.2.50), עמ' 537 :</w:t>
                  </w:r>
                </w:p>
                <w:p w:rsidR="00FB2A3B" w:rsidRPr="00E24468" w:rsidRDefault="00FB2A3B">
                  <w:pPr>
                    <w:pStyle w:val="OCRStyle3"/>
                    <w:ind w:left="38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קובץ התקנות 129 מיום ז' בכסלו תשי"א (16.11.50), עמ'.226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7925" o:spid="_x0000_s1035" type="#_x0000_t202" style="position:absolute;left:0;text-align:left;margin-left:90.2pt;margin-top:67.6pt;width:488.25pt;height:640.55pt;z-index:9;mso-position-horizontal-relative:page;mso-position-vertical-relative:page" stroked="f">
            <v:textbox style="mso-next-textbox:#_x0000_s792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2"/>
                    <w:gridCol w:w="1394"/>
                  </w:tblGrid>
                  <w:tr w:rsidR="00FB2A3B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ישא בהוצאות הפרסום; ואם הורה שהנאשם ישא בהוצאות הפרסום, יהיה דינן כדין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שהוטל על ידי בית המשפט.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B2A3B" w:rsidRPr="00E24468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נציג ציבור שהוזמן למושב של בית דין, והוא נעדר מן המושב ללא סיבה מספקת,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עד מאה לירות.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 ציבור הנאשם בעבירה על פי סעיף קטן (א) -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יובא לדין בפני נשיא בית משפט מחוזי - אם הוא נעדר ממושב בית דין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שליד בית משפט מחוזי ; ויחולו סדרי הדין הנוהגים במשפט פלילי בבית משפט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 בדיון מהיר;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יובא לדין בפני שופט שלום ראשי - אם הוא נעדר ממושב בית דין שליד</w:t>
                        </w:r>
                      </w:p>
                      <w:p w:rsidR="00FB2A3B" w:rsidRPr="00E24468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שלום ו ויחולו סדרי הדין הנוהגים במשפט פלילי בבית משפט שלום.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B2A3B" w:rsidRDefault="00FB2A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העדר נציג ציבור</w:t>
                        </w:r>
                      </w:p>
                      <w:p w:rsidR="00FB2A3B" w:rsidRPr="00E24468" w:rsidRDefault="00FB2A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סיבה מספקת</w:t>
                        </w:r>
                      </w:p>
                    </w:tc>
                  </w:tr>
                  <w:tr w:rsidR="00FB2A3B" w:rsidRPr="00E24468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B2A3B" w:rsidRDefault="00FB2A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כל מקום שהוראה שבחוק זה סותרת הוראת כל חוק אחר' ההוראה שבחוק זה -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עדיפה.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לבית דין יהיו כל הסמכויות הנתונות לבית משפט על פי כל חוק אחר ; וכל האמור</w:t>
                        </w:r>
                      </w:p>
                      <w:p w:rsidR="00FB2A3B" w:rsidRPr="00E24468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בא להוסיף על אותן סמכויות ולא לגרוע מהן.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B2A3B" w:rsidRDefault="00FB2A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זה וחוקים</w:t>
                        </w:r>
                      </w:p>
                      <w:p w:rsidR="00FB2A3B" w:rsidRPr="00E24468" w:rsidRDefault="00FB2A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</w:tr>
                  <w:tr w:rsidR="00FB2A3B" w:rsidRPr="00E24468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B2A3B" w:rsidRDefault="00FB2A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בטלות -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פקודת מניעת הפקעת שערים וספסרות (שיפוט)' תש"ח - 1948  1(להלן -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 ;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תקנות הפיקוח, כמשמעותן בסעיף 3 (ב) לפקודה' במידה שלא בוטלו בסעיף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לפקודה.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הגנת הדייר (שכירות משנה, אירוח וחילופים), תשי"א-1950 2, יתוקן כך: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14, במקום המלים "ודינו כדין אשם לפי סעיף 6 לפקודת מניעת הפקעת שערים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וספסרות (שיפוט)' תש"ח - 1948. הפקודה האמורה תחול על הדיון באשמה לפי סעיף זה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היה חוק זה כלול ברשימת החוקים בסעיף קטן 3 (א) של הפקודה", יבואו המלים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"ודינו כדין אשם לפי סעיף 5 לחוק למניעת הפקעת שערים וספסרות (שיפוט)' תשי"א -</w:t>
                        </w:r>
                      </w:p>
                      <w:p w:rsidR="00FB2A3B" w:rsidRPr="00E24468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1951".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B2A3B" w:rsidRPr="00E24468" w:rsidRDefault="00FB2A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ניטו? ותיקוז</w:t>
                        </w:r>
                      </w:p>
                    </w:tc>
                  </w:tr>
                  <w:tr w:rsidR="00FB2A3B" w:rsidRPr="00E24468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B2A3B" w:rsidRDefault="00FB2A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מי שלפני תחילת תקפו של חוק זה נתמנה' כנציג ציבור' חבר בית דין למניעת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הפקעת שערים וספסרות שהוקם לפי הפקודה, וערב תחילת תקפו של חוק זה היה חבר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כזה, רואים אותו כאילו ביום תחילת תקפו של חוק זה נתמנה להיות נציג ציבור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חוק זה.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ענין תלוי ועומד, ערב תחילת תקפו של חוק זה, בפני בית דין למניעת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הפקעת שערים וספסרות שהוקם לפי הפקודה, יימשך הדיון באותו ענין כאילו חוק זה לא</w:t>
                        </w:r>
                      </w:p>
                      <w:p w:rsidR="00FB2A3B" w:rsidRPr="00E24468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נכנס לתקפו.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B2A3B" w:rsidRPr="00E24468" w:rsidRDefault="00FB2A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FB2A3B" w:rsidRPr="00E24468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FB2A3B" w:rsidRDefault="00FB2A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שר המשפטים ממונה על ביצוע חוק זה' והוא רשאי להתקין תקנות בכל ענין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 ולסדרי הדין בבתי הדין.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אלה רואים אותן כאילו הותקנו לפי חוק זה:</w:t>
                        </w:r>
                      </w:p>
                      <w:p w:rsidR="00FB2A3B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תקנות מניעת הפקעת שערים וספסרות (החשת דיון), תש"י-1950 3;</w:t>
                        </w:r>
                      </w:p>
                      <w:p w:rsidR="00FB2A3B" w:rsidRPr="00E24468" w:rsidRDefault="00FB2A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תקנות מניעת הפקעת שערים וספרות (החשת דיון) (מס. 2)' תשי"א-1950 4.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FB2A3B" w:rsidRPr="00E24468" w:rsidRDefault="00FB2A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FB2A3B" w:rsidRDefault="00FB2A3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B2A3B" w:rsidRDefault="00FB2A3B">
      <w:pPr>
        <w:rPr>
          <w:rtl/>
        </w:rPr>
      </w:pPr>
      <w:r>
        <w:rPr>
          <w:rtl/>
        </w:rPr>
        <w:br w:type="page"/>
      </w:r>
    </w:p>
    <w:p w:rsidR="00FB2A3B" w:rsidRDefault="00000000">
      <w:pPr>
        <w:rPr>
          <w:rtl/>
        </w:rPr>
      </w:pPr>
      <w:r>
        <w:pict>
          <v:shape id="_x0000_s7926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7926" inset="0,0,0,0">
              <w:txbxContent>
                <w:p w:rsidR="00FB2A3B" w:rsidRDefault="00FB2A3B">
                  <w:r>
                    <w:rPr>
                      <w:rtl/>
                    </w:rPr>
                    <w:t>43                                           ספר החוקים 68                  ט' באדר א' התשי"א 15.02.1951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7927" o:spid="_x0000_s1037" type="#_x0000_t202" style="position:absolute;left:0;text-align:left;margin-left:306.65pt;margin-top:553.85pt;width:249.3pt;height:229.1pt;z-index:16;mso-position-horizontal-relative:page;mso-position-vertical-relative:page" stroked="f">
            <v:textbox style="mso-next-textbox:#_x0000_s7927" inset="0,0,0,0">
              <w:txbxContent>
                <w:p w:rsidR="00FB2A3B" w:rsidRDefault="00FB2A3B">
                  <w:pPr>
                    <w:pStyle w:val="OCRStyle4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1 ע"ר מס' 914 מ י ום 26.8.39, תוס' 2, עמ' 548.</w:t>
                  </w:r>
                </w:p>
                <w:p w:rsidR="00FB2A3B" w:rsidRDefault="00FB2A3B">
                  <w:pPr>
                    <w:pStyle w:val="OCRStyle4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1138 מ י ום 6.11.41, תוס' 2, עמ' .1380</w:t>
                  </w:r>
                </w:p>
                <w:p w:rsidR="00FB2A3B" w:rsidRDefault="00FB2A3B">
                  <w:pPr>
                    <w:pStyle w:val="OCRStyle4"/>
                    <w:ind w:left="5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1347 מיום 20.7.44, תוס' 2, עמ' 525.</w:t>
                  </w:r>
                </w:p>
                <w:p w:rsidR="00FB2A3B" w:rsidRDefault="00FB2A3B">
                  <w:pPr>
                    <w:pStyle w:val="OCRStyle4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מס' 1359 מיום 14.9.44, תוס' 2, עמ' 726.</w:t>
                  </w:r>
                </w:p>
                <w:p w:rsidR="00FB2A3B" w:rsidRDefault="00FB2A3B">
                  <w:pPr>
                    <w:pStyle w:val="OCRStyle4"/>
                    <w:ind w:left="5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ע"ר מס' 496 מיום 28.2.35, תוס' 1, עמ' .53</w:t>
                  </w:r>
                </w:p>
                <w:p w:rsidR="00FB2A3B" w:rsidRDefault="00FB2A3B">
                  <w:pPr>
                    <w:pStyle w:val="OCRStyle4"/>
                    <w:ind w:left="5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מס' 913 מיום 26.8.39, תוס' 1, עמ' .70</w:t>
                  </w:r>
                </w:p>
                <w:p w:rsidR="00FB2A3B" w:rsidRDefault="00FB2A3B">
                  <w:pPr>
                    <w:pStyle w:val="OCRStyle4"/>
                    <w:ind w:left="5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913 מיום 26.8.39, תוס' 1, עמ' 74.</w:t>
                  </w:r>
                </w:p>
                <w:p w:rsidR="00FB2A3B" w:rsidRDefault="00FB2A3B">
                  <w:pPr>
                    <w:pStyle w:val="OCRStyle4"/>
                    <w:ind w:left="4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ע"ר מס' 968 מיום 11.12.39, תוס' 1 עמ' .137</w:t>
                  </w:r>
                </w:p>
                <w:p w:rsidR="00FB2A3B" w:rsidRDefault="00FB2A3B">
                  <w:pPr>
                    <w:pStyle w:val="OCRStyle4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ע"ר טס' 1178 מיום 19.3.42, תוס' 1, עט' 3.</w:t>
                  </w:r>
                </w:p>
                <w:p w:rsidR="00FB2A3B" w:rsidRDefault="00FB2A3B">
                  <w:pPr>
                    <w:pStyle w:val="OCRStyle4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ע"ר מס' 1457 מיום 24.11.15, תוס' 1.. עמ' 155.</w:t>
                  </w:r>
                </w:p>
                <w:p w:rsidR="00FB2A3B" w:rsidRDefault="00FB2A3B">
                  <w:pPr>
                    <w:pStyle w:val="OCRStyle4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ע"ר מס' 1563 מיום 15.3.47, תוס' 1, עט' .2</w:t>
                  </w:r>
                </w:p>
                <w:p w:rsidR="00FB2A3B" w:rsidRDefault="00FB2A3B">
                  <w:pPr>
                    <w:pStyle w:val="OCRStyle4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ספר החוקים 60 מיום כ"ב בחשון תשי"א (2.11.50), עמ'.2</w:t>
                  </w:r>
                </w:p>
                <w:p w:rsidR="00FB2A3B" w:rsidRDefault="00FB2A3B">
                  <w:pPr>
                    <w:pStyle w:val="OCRStyle4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ע"ר מס' 1400 מיום 2.4.45, תוס' 1, עט' .36</w:t>
                  </w:r>
                </w:p>
                <w:p w:rsidR="00FB2A3B" w:rsidRDefault="00FB2A3B">
                  <w:pPr>
                    <w:pStyle w:val="OCRStyle4"/>
                    <w:ind w:left="5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 ע"ר מס' 414 מיום 12.1.34, תוס' 1, עמ' .1</w:t>
                  </w:r>
                </w:p>
                <w:p w:rsidR="00FB2A3B" w:rsidRPr="00FB2A3B" w:rsidRDefault="00FB2A3B">
                  <w:pPr>
                    <w:pStyle w:val="OCRStyle4"/>
                    <w:ind w:left="51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 ע"ר מס' 1154 מיום 18.12.41, תוס' 1, עט' .110</w:t>
                  </w:r>
                </w:p>
              </w:txbxContent>
            </v:textbox>
            <w10:wrap anchorx="page" anchory="page"/>
          </v:shape>
        </w:pict>
      </w:r>
      <w:r>
        <w:pict>
          <v:shape id="_x0000_s7928" o:spid="_x0000_s1038" type="#_x0000_t202" style="position:absolute;left:0;text-align:left;margin-left:452.35pt;margin-top:471.25pt;width:106.35pt;height:35.85pt;z-index:15;mso-position-horizontal-relative:page;mso-position-vertical-relative:page" stroked="f">
            <v:textbox style="mso-next-textbox:#_x0000_s7928" inset="0,0,0,0">
              <w:txbxContent>
                <w:p w:rsidR="00FB2A3B" w:rsidRDefault="00FB2A3B">
                  <w:pPr>
                    <w:pStyle w:val="OCRStyle4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FB2A3B" w:rsidRDefault="00FB2A3B">
                  <w:pPr>
                    <w:pStyle w:val="OCRStyle4"/>
                    <w:ind w:left="5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929" o:spid="_x0000_s1039" type="#_x0000_t202" style="position:absolute;left:0;text-align:left;margin-left:152.6pt;margin-top:428.3pt;width:78.8pt;height:35.65pt;z-index:14;mso-position-horizontal-relative:page;mso-position-vertical-relative:page" stroked="f">
            <v:textbox style="mso-next-textbox:#_x0000_s7929" inset="0,0,0,0">
              <w:txbxContent>
                <w:p w:rsidR="00FB2A3B" w:rsidRDefault="00FB2A3B">
                  <w:pPr>
                    <w:pStyle w:val="OCRStyle4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FB2A3B" w:rsidRDefault="00FB2A3B">
                  <w:pPr>
                    <w:pStyle w:val="OCRStyle4"/>
                    <w:ind w:left="10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930" o:spid="_x0000_s1040" type="#_x0000_t202" style="position:absolute;left:0;text-align:left;margin-left:250.8pt;margin-top:428.3pt;width:109.9pt;height:36.65pt;z-index:13;mso-position-horizontal-relative:page;mso-position-vertical-relative:page" stroked="f">
            <v:textbox style="mso-next-textbox:#_x0000_s7930" inset="0,0,0,0">
              <w:txbxContent>
                <w:p w:rsidR="00FB2A3B" w:rsidRDefault="00FB2A3B">
                  <w:pPr>
                    <w:pStyle w:val="OCRStyle4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B2A3B" w:rsidRDefault="00FB2A3B">
                  <w:pPr>
                    <w:pStyle w:val="OCRStyle4"/>
                    <w:ind w:left="47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931" o:spid="_x0000_s1041" type="#_x0000_t202" style="position:absolute;left:0;text-align:left;margin-left:136.15pt;margin-top:76.25pt;width:419.75pt;height:326.3pt;z-index:12;mso-position-horizontal-relative:page;mso-position-vertical-relative:page" stroked="f">
            <v:textbox style="mso-next-textbox:#_x0000_s7931" inset="0,0,0,0">
              <w:txbxContent>
                <w:p w:rsidR="00FB2A3B" w:rsidRDefault="00FB2A3B">
                  <w:pPr>
                    <w:pStyle w:val="OCRStyle4"/>
                    <w:ind w:left="3416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תוספת</w:t>
                  </w:r>
                </w:p>
                <w:p w:rsidR="00FB2A3B" w:rsidRDefault="00FB2A3B">
                  <w:pPr>
                    <w:pStyle w:val="OCRStyle4"/>
                    <w:ind w:left="3398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FB2A3B" w:rsidRDefault="00FB2A3B">
                  <w:pPr>
                    <w:pStyle w:val="OCRStyle4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1. תקנות ההגנה, 1939 1;</w:t>
                  </w:r>
                </w:p>
                <w:p w:rsidR="00FB2A3B" w:rsidRDefault="00FB2A3B">
                  <w:pPr>
                    <w:pStyle w:val="OCRStyle4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2. תקנות ההגנה (כספים), 1941 2;</w:t>
                  </w:r>
                </w:p>
                <w:p w:rsidR="00FB2A3B" w:rsidRDefault="00FB2A3B">
                  <w:pPr>
                    <w:pStyle w:val="OCRStyle4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3. תקנות ההגנה (פיקוח על מוסדים), 1944 3;</w:t>
                  </w:r>
                </w:p>
                <w:p w:rsidR="00FB2A3B" w:rsidRDefault="00FB2A3B">
                  <w:pPr>
                    <w:pStyle w:val="OCRStyle4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4. תקנות ההגנה (מניעת רווחים מופקעים), 1944 4;</w:t>
                  </w:r>
                </w:p>
                <w:p w:rsidR="00FB2A3B" w:rsidRDefault="00FB2A3B">
                  <w:pPr>
                    <w:pStyle w:val="OCRStyle4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5. פקודת בריאות העם (תקנות בדבר צרכי מזון), 1935 5;</w:t>
                  </w:r>
                </w:p>
                <w:p w:rsidR="00FB2A3B" w:rsidRDefault="00FB2A3B">
                  <w:pPr>
                    <w:pStyle w:val="OCRStyle4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6, פקודת צרכי אוכל ומצרכים הכרחיים (פיקוח), 1939 6;</w:t>
                  </w:r>
                </w:p>
                <w:p w:rsidR="00FB2A3B" w:rsidRDefault="00FB2A3B">
                  <w:pPr>
                    <w:pStyle w:val="OCRStyle4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7. פקודת המצרכים ההכרחיים (מלאי), 1939 7;</w:t>
                  </w:r>
                </w:p>
                <w:p w:rsidR="00FB2A3B" w:rsidRDefault="00FB2A3B">
                  <w:pPr>
                    <w:pStyle w:val="OCRStyle4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8. פקודת הסמכויות בענין היבוא, היצוא והמכס (הגנה), 1939 8;</w:t>
                  </w:r>
                </w:p>
                <w:p w:rsidR="00FB2A3B" w:rsidRDefault="00FB2A3B">
                  <w:pPr>
                    <w:pStyle w:val="OCRStyle4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9. פקודת הפיקוח על המזונות, 1942 9;</w:t>
                  </w:r>
                </w:p>
                <w:p w:rsidR="00FB2A3B" w:rsidRDefault="00FB2A3B">
                  <w:pPr>
                    <w:pStyle w:val="OCRStyle4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10. פקודת מחלות בעלי חיים, 1945 10;</w:t>
                  </w:r>
                </w:p>
                <w:p w:rsidR="00FB2A3B" w:rsidRDefault="00FB2A3B">
                  <w:pPr>
                    <w:pStyle w:val="OCRStyle4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11. פקודת מידות ומשקלות, 1947 11;</w:t>
                  </w:r>
                </w:p>
                <w:p w:rsidR="00FB2A3B" w:rsidRDefault="00FB2A3B">
                  <w:pPr>
                    <w:pStyle w:val="OCRStyle4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12. חוק הגנת הדייר (שכירות משנה, אירוח וחילופים), תשי"א-1950 12;</w:t>
                  </w:r>
                </w:p>
                <w:p w:rsidR="00FB2A3B" w:rsidRDefault="00FB2A3B">
                  <w:pPr>
                    <w:pStyle w:val="OCRStyle4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13. כל תקנה, במשמעותה בפקודת הפירושים, 1945 13, שהותקנה על פי אחד החוקים</w:t>
                  </w:r>
                </w:p>
                <w:p w:rsidR="00FB2A3B" w:rsidRDefault="00FB2A3B">
                  <w:pPr>
                    <w:pStyle w:val="OCRStyle4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המפורטים לעיל ;</w:t>
                  </w:r>
                </w:p>
                <w:p w:rsidR="00FB2A3B" w:rsidRDefault="00FB2A3B">
                  <w:pPr>
                    <w:pStyle w:val="OCRStyle4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14. חוקי עזר של רשויות מקומיות שהותקנו לפי פקודת העיריות, 1934 14, או לפי פקודת</w:t>
                  </w:r>
                </w:p>
                <w:p w:rsidR="00FB2A3B" w:rsidRDefault="00FB2A3B">
                  <w:pPr>
                    <w:pStyle w:val="OCRStyle4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המועצות המקומיות, 1941 15, והמסדירים את חלוקתם של מצרכי מזון, מחיריהם</w:t>
                  </w:r>
                </w:p>
                <w:p w:rsidR="00FB2A3B" w:rsidRPr="00FB2A3B" w:rsidRDefault="00FB2A3B">
                  <w:pPr>
                    <w:pStyle w:val="OCRStyle4"/>
                    <w:ind w:left="547"/>
                  </w:pPr>
                  <w:r>
                    <w:rPr>
                      <w:rtl/>
                    </w:rPr>
                    <w:t>והפיקוח על מכירתם.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E7CD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08E223-7DC2-4DB6-BF8E-3B8B2C7C2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E7CD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D6A4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24468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FB2A3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2008-04-06T17:07:00Z</dcterms:created>
  <dcterms:modified xsi:type="dcterms:W3CDTF">2008-04-06T17:07:00Z</dcterms:modified>
</cp:coreProperties>
</file>