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6D73" w:rsidRDefault="00C66D73">
      <w:pPr>
        <w:rPr>
          <w:rtl/>
        </w:rPr>
      </w:pPr>
    </w:p>
    <w:p w:rsidR="00C66D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93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7932" inset="0,0,0,0">
              <w:txbxContent>
                <w:p w:rsidR="00C66D73" w:rsidRDefault="00C66D73">
                  <w:r>
                    <w:rPr>
                      <w:rtl/>
                    </w:rPr>
                    <w:t>238                                          ספר החוקים 99                  י"ט בסיוון התשי"ב 12.06.1952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3" o:spid="_x0000_s1026" type="#_x0000_t202" style="position:absolute;left:0;text-align:left;margin-left:506.95pt;margin-top:355.2pt;width:59.8pt;height:27.7pt;z-index:7;mso-position-horizontal-relative:page;mso-position-vertical-relative:page" stroked="f">
            <v:textbox style="mso-next-textbox:#_x0000_s7933" inset="0,0,0,0">
              <w:txbxContent>
                <w:p w:rsidR="00C66D73" w:rsidRDefault="00C66D73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88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4" o:spid="_x0000_s1027" type="#_x0000_t202" style="position:absolute;left:0;text-align:left;margin-left:102.85pt;margin-top:233.05pt;width:85.75pt;height:37.4pt;z-index:6;mso-position-horizontal-relative:page;mso-position-vertical-relative:page" stroked="f">
            <v:textbox style="mso-next-textbox:#_x0000_s7934" inset="0,0,0,0">
              <w:txbxContent>
                <w:p w:rsidR="00C66D73" w:rsidRDefault="00C66D7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66D73" w:rsidRDefault="00C66D73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5" o:spid="_x0000_s1028" type="#_x0000_t202" style="position:absolute;left:0;text-align:left;margin-left:240.25pt;margin-top:231.25pt;width:118.6pt;height:38.4pt;z-index:5;mso-position-horizontal-relative:page;mso-position-vertical-relative:page" stroked="f">
            <v:textbox style="mso-next-textbox:#_x0000_s7935" inset="0,0,0,0">
              <w:txbxContent>
                <w:p w:rsidR="00C66D73" w:rsidRDefault="00C66D73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C66D73" w:rsidRDefault="00C66D73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6" o:spid="_x0000_s1029" type="#_x0000_t202" style="position:absolute;left:0;text-align:left;margin-left:365.2pt;margin-top:266.9pt;width:134.65pt;height:53.45pt;z-index:4;mso-position-horizontal-relative:page;mso-position-vertical-relative:page" stroked="f">
            <v:textbox style="mso-next-textbox:#_x0000_s7936" inset="0,0,0,0">
              <w:txbxContent>
                <w:p w:rsidR="00C66D73" w:rsidRDefault="00C66D73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C66D73" w:rsidRDefault="00C66D73">
                  <w:pPr>
                    <w:pStyle w:val="OCRStyle1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C66D73" w:rsidRDefault="00C66D73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7" o:spid="_x0000_s1030" type="#_x0000_t202" style="position:absolute;left:0;text-align:left;margin-left:83.25pt;margin-top:111.7pt;width:488.85pt;height:115.05pt;z-index:3;mso-position-horizontal-relative:page;mso-position-vertical-relative:page" stroked="f">
            <v:textbox style="mso-next-textbox:#_x0000_s7937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6"/>
                    <w:gridCol w:w="1303"/>
                  </w:tblGrid>
                  <w:tr w:rsidR="00C66D73" w:rsidRPr="00C66D7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C66D73" w:rsidRDefault="00C66D7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למניעת הפקעת שערים וספסרות (שיפוט), תשי"א-1951 1, יתוקן כך :</w:t>
                        </w:r>
                      </w:p>
                      <w:p w:rsidR="00C66D73" w:rsidRDefault="00C66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4, במקום סעיף קטן (ב) יבוא סעיף קטן זה:</w:t>
                        </w:r>
                      </w:p>
                      <w:p w:rsidR="00C66D73" w:rsidRDefault="00C66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בית משפט אחר שערב תחילת תקפו של חוק זה היה מוסמך לדון בעבירות</w:t>
                        </w:r>
                      </w:p>
                      <w:p w:rsidR="00C66D73" w:rsidRDefault="00C66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המשק לולא הוראות פקודת מניעת הפקעת שערים וספסרות (שיפוט)' תש"ח-1948 2,</w:t>
                        </w:r>
                      </w:p>
                      <w:p w:rsidR="00C66D73" w:rsidRPr="00C66D73" w:rsidRDefault="00C66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מוסמך לדון באותן עבירות על אף האמור בסעיף קטן (א)."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C66D73" w:rsidRPr="00C66D73" w:rsidRDefault="00C66D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C66D73" w:rsidRPr="00C66D73">
                    <w:trPr>
                      <w:jc w:val="right"/>
                    </w:trPr>
                    <w:tc>
                      <w:tcPr>
                        <w:tcW w:w="4267" w:type="pct"/>
                      </w:tcPr>
                      <w:p w:rsidR="00C66D73" w:rsidRPr="00C66D73" w:rsidRDefault="00C66D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ט' באדר א' תשי"א (15 בפברואר 1951).</w:t>
                        </w:r>
                      </w:p>
                    </w:tc>
                    <w:tc>
                      <w:tcPr>
                        <w:tcW w:w="733" w:type="pct"/>
                      </w:tcPr>
                      <w:p w:rsidR="00C66D73" w:rsidRPr="00C66D73" w:rsidRDefault="00C66D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C66D73" w:rsidRDefault="00C66D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938" o:spid="_x0000_s1031" type="#_x0000_t202" style="position:absolute;left:0;text-align:left;margin-left:88.6pt;margin-top:82.35pt;width:403.15pt;height:24.95pt;z-index:2;mso-position-horizontal-relative:page;mso-position-vertical-relative:page" stroked="f">
            <v:textbox style="mso-next-textbox:#_x0000_s7938" inset="0,0,0,0">
              <w:txbxContent>
                <w:p w:rsidR="00C66D73" w:rsidRPr="00C66D73" w:rsidRDefault="00C66D73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למניעת הפקעת שערים וספסרות (שיפוט) (תיקון), תשייב-1952 .</w:t>
                  </w:r>
                </w:p>
              </w:txbxContent>
            </v:textbox>
            <w10:wrap anchorx="page" anchory="page"/>
          </v:shape>
        </w:pict>
      </w:r>
      <w:r>
        <w:pict>
          <v:shape id="_x0000_s7939" o:spid="_x0000_s1032" type="#_x0000_t202" style="position:absolute;left:0;text-align:left;margin-left:506.95pt;margin-top:67.15pt;width:60.6pt;height:24.15pt;z-index:1;mso-position-horizontal-relative:page;mso-position-vertical-relative:page" stroked="f">
            <v:textbox style="mso-next-textbox:#_x0000_s7939" inset="0,0,0,0">
              <w:txbxContent>
                <w:p w:rsidR="00C66D73" w:rsidRDefault="00C66D73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מספר 87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66D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E77C31-95CE-4153-9918-6BAEE4FBC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66D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2008-04-06T18:32:00Z</dcterms:created>
  <dcterms:modified xsi:type="dcterms:W3CDTF">2008-04-06T18:32:00Z</dcterms:modified>
</cp:coreProperties>
</file>