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0760" w:rsidRDefault="00560760">
      <w:pPr>
        <w:rPr>
          <w:rtl/>
        </w:rPr>
      </w:pPr>
    </w:p>
    <w:p w:rsidR="005607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95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7952" inset="0,0,0,0">
              <w:txbxContent>
                <w:p w:rsidR="00F37603" w:rsidRDefault="00F37603">
                  <w:r>
                    <w:rPr>
                      <w:rtl/>
                    </w:rPr>
                    <w:t>160                                          ספר החוקים 161                    כ"ז באב התשי"ד 26.08.1954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7953" o:spid="_x0000_s1026" type="#_x0000_t202" style="position:absolute;left:0;text-align:left;margin-left:65.55pt;margin-top:749.3pt;width:420.15pt;height:56.85pt;z-index:4;mso-position-horizontal-relative:page;mso-position-vertical-relative:page" stroked="f">
            <v:textbox style="mso-next-textbox:#_x0000_s7953" inset="0,0,0,0">
              <w:txbxContent>
                <w:p w:rsidR="00F37603" w:rsidRDefault="00F37603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י"ז באב תשי"ד (16 באוגוסט 1954) ; הצעת החוק ודברי הסבר נתפרסמו</w:t>
                  </w:r>
                </w:p>
                <w:p w:rsidR="00F37603" w:rsidRPr="00560760" w:rsidRDefault="00F37603">
                  <w:pPr>
                    <w:pStyle w:val="OCRStyle1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161, תשי"ג, עמ'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954" o:spid="_x0000_s1027" type="#_x0000_t202" style="position:absolute;left:0;text-align:left;margin-left:78.65pt;margin-top:125.6pt;width:495.4pt;height:620.95pt;z-index:3;mso-position-horizontal-relative:page;mso-position-vertical-relative:page" stroked="f">
            <v:textbox style="mso-next-textbox:#_x0000_s795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4"/>
                    <w:gridCol w:w="1283"/>
                  </w:tblGrid>
                  <w:tr w:rsidR="00F37603" w:rsidRPr="0056076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"מסתנן" - מי שנכנס לישראל, ביודעין ושלא כדין, וביום מן הימים שבין ט"ז בכסלו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תש"ח (29 בנובמבר 1947) ובין כניסתו היה אחד מאלה -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אזרח או נתין של לבנון' מצרים, סוריה, סעודיה, עבר-הירדן, עירק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תימן ;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 או מבקר באחת הארצות האלה או בכל חלק של ארץ ישראל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שמחוץ לישראל;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אזרח ארצישראלי או תושב ארצישראלי חסר אזרחות או נתינות או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שאזרחותו או שנתינותו מוטלת בספק, ויצא באותו פרק זמן ממקום מגוריו הרגיל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שהיה לחלק מישראל אל מקום שמחוץ לישראל.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המטה הכללי" - ראש המטה הכללי של צבא-הגנה לישראל.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"מזויין" - לרבות מי שמזויין במכשיר או בחומר העשוי להמית אדם או לגרום לו חבלה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חמורה או חבלה מסוכנת, אף שאינו כלי יריה או חומר נפץ או חומר מתלקח.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37603" w:rsidRPr="00560760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F37603" w:rsidRPr="0056076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המסתנן, דינו - מאסר חמש שנים או קנס חמשת אלפים לירות, או שני העבשים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37603" w:rsidRPr="00560760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מסתנן</w:t>
                        </w:r>
                      </w:p>
                    </w:tc>
                  </w:tr>
                  <w:tr w:rsidR="00F37603" w:rsidRPr="0056076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מי שהסתנן לאחר שגורש מן הארץ, דינו - מאסר שבע שנים או קנס שבעת אלפים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או שני העבשים כאחד.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מסתנן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שגורש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 הארץ</w:t>
                        </w:r>
                      </w:p>
                    </w:tc>
                  </w:tr>
                  <w:tr w:rsidR="00F37603" w:rsidRPr="0056076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מי שהסתנן כשהוא מזדיין, או בחברת אדם מזויין או נתמך על ידי אדם מזויין, דינו -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עשרה שנה, ואם היה המסתנן או האדם כאמור מזויין בכלי יריה או חומר נפץ,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חומר מתלקח, דינו - מאסר עולם.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מסתנן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מזויין</w:t>
                        </w:r>
                      </w:p>
                    </w:tc>
                  </w:tr>
                  <w:tr w:rsidR="00F37603" w:rsidRPr="0056076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.מי שהסתנן וביצע פשע או עבירה שיש בה פגיעה ברכוש, שימוש בכוח או הפרת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השלום, דינו - מאסר עולם.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מסתנן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שביצע עבירות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טסוייטות</w:t>
                        </w:r>
                      </w:p>
                    </w:tc>
                  </w:tr>
                  <w:tr w:rsidR="00F37603" w:rsidRPr="0056076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מי שנתן מחסה למסתנן או נתן לו סעד אחר כדי להקל על הסתננותו או על שהותו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 בישראל, דינו - מאסר חמש שנים או קנס חמשת אלפים לירות, או שני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העבשים כאחד.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די! הנותן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מחסה או סעד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 למסתנן</w:t>
                        </w:r>
                      </w:p>
                    </w:tc>
                  </w:tr>
                  <w:tr w:rsidR="00F37603" w:rsidRPr="0056076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מי שסוחר עם מסתנן, כל עוד הוא נמצא בישראל שלא כדין, דינו - מאסר חמש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או קנס חמשת אלפים לירות, או שני העבשים כאחד.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די; מי שסוחר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מסתנן</w:t>
                        </w:r>
                      </w:p>
                    </w:tc>
                  </w:tr>
                  <w:tr w:rsidR="00F37603" w:rsidRPr="0056076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מי שנתן מחסה למסתנן, או נתן לו סעד אחר כדי להקל על הסתננותו או כדי להקל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שהותו שלא כדין בישראל ונוכח בית הדין לדעת שהוא כבר נתן מחסה או סעד כאמור,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עשרה שנה או קנס עשרת אלפים לירות או שני העבשים כאחד.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מי שדרכו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לתת מחסה או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סעד אחר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למסתנז</w:t>
                        </w:r>
                      </w:p>
                    </w:tc>
                  </w:tr>
                  <w:tr w:rsidR="00F37603" w:rsidRPr="00560760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F37603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כל עוד לא הוכח היפוכו של דבר -</w:t>
                        </w:r>
                      </w:p>
                      <w:p w:rsidR="00F37603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רואים נאשם לפי סעיפים 6 או 8 כאילו ידע במקבל המחסה או הסעד</w:t>
                        </w:r>
                      </w:p>
                      <w:p w:rsidR="00F37603" w:rsidRPr="00560760" w:rsidRDefault="00F37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האחר, שהוא מסתנן ושהוא שוהה בישראל שלא כדין ;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37603" w:rsidRPr="00560760" w:rsidRDefault="00F37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יריעה</w:t>
                        </w:r>
                      </w:p>
                    </w:tc>
                  </w:tr>
                </w:tbl>
                <w:p w:rsidR="00F37603" w:rsidRDefault="00F376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955" o:spid="_x0000_s1028" type="#_x0000_t202" style="position:absolute;left:0;text-align:left;margin-left:113.1pt;margin-top:98.65pt;width:347.7pt;height:15.85pt;z-index:2;mso-position-horizontal-relative:page;mso-position-vertical-relative:page" stroked="f">
            <v:textbox style="mso-next-textbox:#_x0000_s7955" inset="0,0,0,0">
              <w:txbxContent>
                <w:p w:rsidR="00F37603" w:rsidRPr="00560760" w:rsidRDefault="00F37603">
                  <w:pPr>
                    <w:pStyle w:val="OCRStyle1"/>
                    <w:ind w:left="2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למניעת הסתננות (עבירות ושיפוט), תשי"ד-1954*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7956" o:spid="_x0000_s1029" type="#_x0000_t202" style="position:absolute;left:0;text-align:left;margin-left:486.7pt;margin-top:83.8pt;width:86.55pt;height:17.6pt;z-index:1;mso-position-horizontal-relative:page;mso-position-vertical-relative:page" stroked="f">
            <v:textbox style="mso-next-textbox:#_x0000_s7956" inset="0,0,0,0">
              <w:txbxContent>
                <w:p w:rsidR="00F37603" w:rsidRDefault="00F37603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מספר 52</w:t>
                  </w:r>
                </w:p>
              </w:txbxContent>
            </v:textbox>
            <w10:wrap anchorx="page" anchory="page"/>
          </v:shape>
        </w:pict>
      </w:r>
    </w:p>
    <w:p w:rsidR="00704B28" w:rsidRDefault="00704B28">
      <w:pPr>
        <w:rPr>
          <w:rtl/>
        </w:rPr>
      </w:pPr>
      <w:r>
        <w:rPr>
          <w:rtl/>
        </w:rPr>
        <w:br w:type="page"/>
      </w:r>
    </w:p>
    <w:p w:rsidR="00704B28" w:rsidRDefault="00000000">
      <w:pPr>
        <w:rPr>
          <w:rtl/>
        </w:rPr>
      </w:pPr>
      <w:r>
        <w:pict>
          <v:shape id="_x0000_s795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957" inset="0,0,0,0">
              <w:txbxContent>
                <w:p w:rsidR="00F37603" w:rsidRDefault="00F37603">
                  <w:r>
                    <w:rPr>
                      <w:rtl/>
                    </w:rPr>
                    <w:t>161                                          ספר החוקים 161                    כ"ז באב התשי"ד 26.08.1954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7958" o:spid="_x0000_s1031" type="#_x0000_t202" style="position:absolute;left:0;text-align:left;margin-left:364.5pt;margin-top:755.95pt;width:197pt;height:58.6pt;z-index:7;mso-position-horizontal-relative:page;mso-position-vertical-relative:page" stroked="f">
            <v:textbox style="mso-next-textbox:#_x0000_s7958" inset="0,0,0,0">
              <w:txbxContent>
                <w:p w:rsidR="00F37603" w:rsidRPr="00704B28" w:rsidRDefault="00F37603">
                  <w:pPr>
                    <w:pStyle w:val="OCRStyle2"/>
                    <w:ind w:left="60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תש 'ח, תוס' ב' מס' 29, עמ' 106</w:t>
                  </w:r>
                </w:p>
              </w:txbxContent>
            </v:textbox>
            <w10:wrap anchorx="page" anchory="page"/>
          </v:shape>
        </w:pict>
      </w:r>
      <w:r>
        <w:pict>
          <v:shape id="_x0000_s7959" o:spid="_x0000_s1032" type="#_x0000_t202" style="position:absolute;left:0;text-align:left;margin-left:79.95pt;margin-top:72.85pt;width:482.55pt;height:681.3pt;z-index:6;mso-position-horizontal-relative:page;mso-position-vertical-relative:page" stroked="f">
            <v:textbox style="mso-next-textbox:#_x0000_s795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527"/>
                  </w:tblGrid>
                  <w:tr w:rsidR="00F37603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Default="00F3760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רואים נאשם לפי סעיף 7 כאילו ידע באדם שסחר עמו שהוא מסתנן</w:t>
                        </w:r>
                      </w:p>
                      <w:p w:rsidR="00F37603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ושהוא שוהה בישראל שלא כדין.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מסתנן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אדם שנכנס לישראל ללא רשות כניסה/ או שוהה בישראל שלא כדין, רואים אותו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כמסתנן, כל עוד לא יוכיח את ההיפר.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בתי דין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יוקמו בתי דין למניעת הסתננות.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מינויי דיינים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הבטחון, לפי הצעת ראש המטה הכללי, ימנה מבין קציני צבא-הגנה לישראל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דיינים לבתי דין למניעת הסתננות.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סוני בתי הדין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בתי דין למניעת הסתננות הם שנים:</w:t>
                        </w:r>
                      </w:p>
                      <w:p w:rsidR="00F37603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דין של דן יחיד, כערכאה ראשונה;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דין של שלושה, כערכאת ערעור.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 בית דין</w:t>
                        </w:r>
                      </w:p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יהיה חייל בעל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השכלה משפטית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לא יתמנה כאב בית דין בבית דין של שלושה, אלא חייל בעל הכשרה משפטית,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בתקנה 168 לחוקת השיפוט תש"ח 1.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תובעים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ראש המטה הכללי ימנה תובעים של בתי הדין למניעת הסתננות. אחד מהם יתמנה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 ראשי.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בית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של דן יחיד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בית דין של דן יחיד יהיה מוסמך לשפוט על כל עבירה לפי חוק זה, ויהיו לו לשם</w:t>
                        </w:r>
                      </w:p>
                      <w:p w:rsidR="00F37603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כך, נוסף לאמור בחוק זה, כל הסמכויות שיש לבית משפט מחוזי בענינים פליליים, אלא</w:t>
                        </w:r>
                      </w:p>
                      <w:p w:rsidR="00F37603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שדן יחיד אשר אינו חייל בעל הכשרה משפטית כאמור בסעיף 14, לא יטיל עונש מאסר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שלמעלה משתי שנים וקנס בסכום שלמעלה מאלף לירות.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נתב אישום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כתב אישום לבית דין של דן יחיד יוגש על ידי תובע.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נאשם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משהוגש כתב אישום, רשאי בית הדין למנות סניגור לנאשם שלא בחר לעצמו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סניגור, בין על פי בקשת הנאשם ובין ביזמתו שלו.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הדיון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היועץ המשפטי לממשלת ישראל רשאי בכל עת שלפני מתן פסק דין לצוות על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הדין בבית דין של דן יחיד.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הנאשם והתובע הראשי רשאים לערער על כל פסק דין של דן יחיד לבית דין של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תוך חמישה עשר יום מיום הקראת פסק הדין.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המשיב בערעור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ובאי כוחו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המשיב בערעור שהוגש על ידי הנאשם יהיה התובע הראשי.</w:t>
                        </w:r>
                      </w:p>
                      <w:p w:rsidR="00F37603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תובע של בית דין למניעת הסתננות יכול להופיע כבא כוחו של התובע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הראשי בערעור.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בית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של שלושה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לבית דין של שלושה הדן בערעור לפי חוק זה יהיו כל הסמכויות שיש לבית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מהוזי בשבתו כבית משפט לערעורים פליליים.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סופיות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פסק דין שניתן על ידי בית דין של שלושה הוא סופי ואין עליו ערעור.</w:t>
                        </w:r>
                      </w:p>
                    </w:tc>
                  </w:tr>
                  <w:tr w:rsidR="00F37603" w:rsidRPr="00704B2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אי-הזרקקות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לטענות פגם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F37603" w:rsidRDefault="00F3760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בית דין למניעת הסתננות לא יזדקק לטענת פגם בהזמנת הנאשם או בכתב האישום,</w:t>
                        </w:r>
                      </w:p>
                      <w:p w:rsidR="00F37603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בצורתם או בתכנם, אם יראה, מטעמים שעליו לפרטם בהחלטתו, שאי הזדקקות לטענה</w:t>
                        </w:r>
                      </w:p>
                      <w:p w:rsidR="00F37603" w:rsidRPr="00704B28" w:rsidRDefault="00F376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עלולה לגרום לעיוות הדין.</w:t>
                        </w:r>
                      </w:p>
                    </w:tc>
                  </w:tr>
                </w:tbl>
                <w:p w:rsidR="00F37603" w:rsidRDefault="00F3760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22E95" w:rsidRDefault="00D22E95">
      <w:pPr>
        <w:rPr>
          <w:rtl/>
        </w:rPr>
      </w:pPr>
      <w:r>
        <w:rPr>
          <w:rtl/>
        </w:rPr>
        <w:br w:type="page"/>
      </w:r>
    </w:p>
    <w:p w:rsidR="00D22E95" w:rsidRDefault="00000000">
      <w:pPr>
        <w:rPr>
          <w:rtl/>
        </w:rPr>
      </w:pPr>
      <w:r>
        <w:pict>
          <v:shape id="_x0000_s7960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7960" inset="0,0,0,0">
              <w:txbxContent>
                <w:p w:rsidR="00F37603" w:rsidRDefault="00F37603">
                  <w:r>
                    <w:rPr>
                      <w:rtl/>
                    </w:rPr>
                    <w:t>162                                          ספר החוקים 161                    כ"ז באב התשי"ד 26.08.1954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7961" o:spid="_x0000_s1034" type="#_x0000_t202" style="position:absolute;left:0;text-align:left;margin-left:80.05pt;margin-top:722.35pt;width:387.7pt;height:86.55pt;z-index:10;mso-position-horizontal-relative:page;mso-position-vertical-relative:page" stroked="f">
            <v:textbox style="mso-next-textbox:#_x0000_s7961" inset="0,0,0,0">
              <w:txbxContent>
                <w:p w:rsidR="00F37603" w:rsidRDefault="00F37603">
                  <w:pPr>
                    <w:pStyle w:val="OCRStyle3"/>
                    <w:ind w:left="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חוקי א"י, ברן א' פרק לי/; עמ' 1;.!</w:t>
                  </w:r>
                </w:p>
                <w:p w:rsidR="00F37603" w:rsidRDefault="00F37603">
                  <w:pPr>
                    <w:pStyle w:val="OCRStyle3"/>
                    <w:ind w:left="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1941, תוס' 1 מס' 1359, עמ' זי.</w:t>
                  </w:r>
                </w:p>
                <w:p w:rsidR="00F37603" w:rsidRDefault="00F37603">
                  <w:pPr>
                    <w:pStyle w:val="OCRStyle3"/>
                    <w:ind w:left="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1041, תוס' 1 מס' 1082 עמ' ה</w:t>
                  </w:r>
                </w:p>
                <w:p w:rsidR="00F37603" w:rsidRPr="00D22E95" w:rsidRDefault="00F37603">
                  <w:pPr>
                    <w:pStyle w:val="OCRStyle3"/>
                    <w:ind w:left="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כ"ח 111 תשי"ב, עמ' 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7962" o:spid="_x0000_s1035" type="#_x0000_t202" style="position:absolute;left:0;text-align:left;margin-left:82.05pt;margin-top:73.55pt;width:500.15pt;height:643.3pt;z-index:9;mso-position-horizontal-relative:page;mso-position-vertical-relative:page" stroked="f">
            <v:textbox style="mso-next-textbox:#_x0000_s796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1"/>
                    <w:gridCol w:w="1493"/>
                  </w:tblGrid>
                  <w:tr w:rsidR="00F37603" w:rsidRPr="00D22E95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בית דין רשאי לסטות מדיני הראיה, אם הוא משוכנע שהדבר יועיל לגילוי האמת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ולעשיית משפט צדק ; החליט בית הדין לסטות מדיני הראיה כאמור, ירשום את הטעמים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שהניעוהו להחלטתו.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37603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כטיה מדיני</w:t>
                        </w:r>
                      </w:p>
                      <w:p w:rsidR="00F37603" w:rsidRPr="00D22E95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הראית</w:t>
                        </w:r>
                      </w:p>
                    </w:tc>
                  </w:tr>
                  <w:tr w:rsidR="00F37603" w:rsidRPr="00D22E95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37603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26* (א) במידה שאין בחוק זה או בתקנות בדבר סדרי דין שיותקנו לפיו הוראה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-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יחולו בבית דין של דן יחיד סדרי הדין הנוהגים אותה שעה בבית דין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לפי חוקת השיפוט תש"ח, בתיאומים לפי הענין;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יחולו בבית דין של שלושה סדרי הדין הנוהגים בבית הדין העליון,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על פסק דין של בית דין מחוזי, לפי אותה חוקה, בתיאומים לפי הענין,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שלגבי בית דין למניעת הסתננות לא תחול תקנה 146 לאותה חוקה.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הדיון בבית דין למניעת הסתננות ייערך בדלתיים פתוחות אם לא החליט בית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לערכו, כולו או מקצתו, בדלתיים סגורות, משום שהדבר דרוש, לדעתו, לשם שמירה</w:t>
                        </w:r>
                      </w:p>
                      <w:p w:rsidR="00F37603" w:rsidRPr="00D22E95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בטחון המדינה.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37603" w:rsidRPr="00D22E95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הדיז</w:t>
                        </w:r>
                      </w:p>
                    </w:tc>
                  </w:tr>
                  <w:tr w:rsidR="00F37603" w:rsidRPr="00D22E95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37603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פקודת הפרוצדורה הפלילית (מאסר וחיפושים)1, חלה על אדם הנאשם בעבירה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בשינויים הבאים: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הסמכות הנתונה בה לשופט שלום תהיה נתונה גם לדן יחיד;</w:t>
                        </w:r>
                      </w:p>
                      <w:p w:rsidR="00F37603" w:rsidRPr="00D22E95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הסמכות הנתונה בה לשוטר תהיה נתונה גם לחייל.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37603" w:rsidRPr="00D22E95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וחיפוש</w:t>
                        </w:r>
                      </w:p>
                    </w:tc>
                  </w:tr>
                  <w:tr w:rsidR="00F37603" w:rsidRPr="00D22E95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37603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פקודת השחרור בערבות' 1944 -, חלה על אדם הנאשם בעבירה לפי חוק זה, בשי-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נויים הבאים: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הסמכות לשחרר בערבות לפני האישום תהיה נתונה לדן יחיד;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הסמכות לשחרר בערבות משהוגש כתב אישום ועד למתן פסק הדין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 תהיה נתונה לבית הדין שדן באשמה ;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הסמכות לשחרר בערבות משהוגש ערעור תהיה נתונה לבית הדין הדן</w:t>
                        </w:r>
                      </w:p>
                      <w:p w:rsidR="00F37603" w:rsidRPr="00D22E95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37603" w:rsidRPr="00D22E95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בערבות</w:t>
                        </w:r>
                      </w:p>
                    </w:tc>
                  </w:tr>
                  <w:tr w:rsidR="00F37603" w:rsidRPr="00D22E95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37603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פסק דין של בית דין למניעת הסתננות, כמוהו כפסק דין של בית משפט אזרחי</w:t>
                        </w:r>
                      </w:p>
                      <w:p w:rsidR="00F37603" w:rsidRPr="00D22E95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להוצאתו לפועל, ויבוצע מיד לאחד נתינתו, אם לא הורה בית הדין הוראה אחרת.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37603" w:rsidRPr="00D22E95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לפועל</w:t>
                        </w:r>
                      </w:p>
                    </w:tc>
                  </w:tr>
                  <w:tr w:rsidR="00F3760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37603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שר הבטחון או מי שהוסמך על ידיו, רשאי לצוות בכתב על גירושו של מסתנן,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שהואשם לכי חוק זה ובין שלא הואשם. הצו ישמש אסמכתה חוקית להחזיק את המסתנן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 עד לגירושו.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שנכנס לישראל ללא רשות כניסה לפני תחילתו של חוק זה ומותר בגלל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לצוות על גירושו מישראל בין לפי פקודת העליה, 1941 י, ובין לפי חוק הכניסה ליש-</w:t>
                        </w:r>
                      </w:p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ראל, תשי"ב-1952 4, יחולו עליו הוראות סעיף קטן (א)' כאילו נכנס לישראל לאחר תהילתו</w:t>
                        </w:r>
                      </w:p>
                      <w:p w:rsidR="00F37603" w:rsidRPr="00D22E95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37603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גירוש</w:t>
                        </w:r>
                      </w:p>
                    </w:tc>
                  </w:tr>
                  <w:tr w:rsidR="00F37603" w:rsidRPr="00D22E95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37603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ניתן צו לפי סעיף 30 והמסתנן נמצא מסיבה כל שהיא במאסר' מותר לשחרר את</w:t>
                        </w:r>
                      </w:p>
                      <w:p w:rsidR="00F37603" w:rsidRPr="00D22E95" w:rsidRDefault="00F3760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המסתנן ממאסרו לשם ביצוע הצו, אף אם לא תמה תקופת מאסרו.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37603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ממאסר</w:t>
                        </w:r>
                      </w:p>
                      <w:p w:rsidR="00F37603" w:rsidRPr="00D22E95" w:rsidRDefault="00F3760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לצורר גירוש</w:t>
                        </w:r>
                      </w:p>
                    </w:tc>
                  </w:tr>
                </w:tbl>
                <w:p w:rsidR="00F37603" w:rsidRDefault="00F3760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11F0E" w:rsidRDefault="00511F0E">
      <w:pPr>
        <w:rPr>
          <w:rtl/>
        </w:rPr>
      </w:pPr>
      <w:r>
        <w:rPr>
          <w:rtl/>
        </w:rPr>
        <w:br w:type="page"/>
      </w:r>
    </w:p>
    <w:p w:rsidR="00511F0E" w:rsidRDefault="00000000">
      <w:pPr>
        <w:rPr>
          <w:rtl/>
        </w:rPr>
      </w:pPr>
      <w:r>
        <w:pict>
          <v:shape id="_x0000_s7963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7963" inset="0,0,0,0">
              <w:txbxContent>
                <w:p w:rsidR="00F37603" w:rsidRDefault="00F37603">
                  <w:r>
                    <w:rPr>
                      <w:rtl/>
                    </w:rPr>
                    <w:t>163                                          ספר החוקים 161                    כ"ז באב התשי"ד 26.08.1954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7964" o:spid="_x0000_s1037" type="#_x0000_t202" style="position:absolute;left:0;text-align:left;margin-left:367.15pt;margin-top:757.9pt;width:202.55pt;height:51.1pt;z-index:16;mso-position-horizontal-relative:page;mso-position-vertical-relative:page" stroked="f">
            <v:textbox style="mso-next-textbox:#_x0000_s7964" inset="0,0,0,0">
              <w:txbxContent>
                <w:p w:rsidR="00F37603" w:rsidRPr="00511F0E" w:rsidRDefault="00F37603">
                  <w:pPr>
                    <w:pStyle w:val="OCRStyle4"/>
                    <w:ind w:left="67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תש"ח, תוס' א' מס' 2,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965" o:spid="_x0000_s1038" type="#_x0000_t202" style="position:absolute;left:0;text-align:left;margin-left:435.85pt;margin-top:319.95pt;width:114.45pt;height:33.45pt;z-index:15;mso-position-horizontal-relative:page;mso-position-vertical-relative:page" stroked="f">
            <v:textbox style="mso-next-textbox:#_x0000_s7965" inset="0,0,0,0">
              <w:txbxContent>
                <w:p w:rsidR="00F37603" w:rsidRDefault="00F37603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 ן-צ ב י</w:t>
                  </w:r>
                </w:p>
                <w:p w:rsidR="00F37603" w:rsidRDefault="00F37603">
                  <w:pPr>
                    <w:pStyle w:val="OCRStyle4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66" o:spid="_x0000_s1039" type="#_x0000_t202" style="position:absolute;left:0;text-align:left;margin-left:165.4pt;margin-top:280.9pt;width:105.15pt;height:32.65pt;z-index:14;mso-position-horizontal-relative:page;mso-position-vertical-relative:page" stroked="f">
            <v:textbox style="mso-next-textbox:#_x0000_s7966" inset="0,0,0,0">
              <w:txbxContent>
                <w:p w:rsidR="00F37603" w:rsidRDefault="00F37603">
                  <w:pPr>
                    <w:pStyle w:val="OCRStyle4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F37603" w:rsidRDefault="00F37603">
                  <w:pPr>
                    <w:pStyle w:val="OCRStyle4"/>
                    <w:ind w:left="44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967" o:spid="_x0000_s1040" type="#_x0000_t202" style="position:absolute;left:0;text-align:left;margin-left:329.95pt;margin-top:280.15pt;width:87.3pt;height:32.45pt;z-index:13;mso-position-horizontal-relative:page;mso-position-vertical-relative:page" stroked="f">
            <v:textbox style="mso-next-textbox:#_x0000_s7967" inset="0,0,0,0">
              <w:txbxContent>
                <w:p w:rsidR="00F37603" w:rsidRDefault="00F37603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F37603" w:rsidRDefault="00F37603">
                  <w:pPr>
                    <w:pStyle w:val="OCRStyle4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68" o:spid="_x0000_s1041" type="#_x0000_t202" style="position:absolute;left:0;text-align:left;margin-left:72.55pt;margin-top:74.6pt;width:494.4pt;height:177.6pt;z-index:12;mso-position-horizontal-relative:page;mso-position-vertical-relative:page" stroked="f">
            <v:textbox style="mso-next-textbox:#_x0000_s796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7600"/>
                  </w:tblGrid>
                  <w:tr w:rsidR="00F37603" w:rsidRPr="00511F0E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37603" w:rsidRPr="00511F0E" w:rsidRDefault="00F3760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כיסוי הוצאות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F37603" w:rsidRDefault="00F3760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 מי שנתן צו לפי סעיף 30 רשאי להורות' כי ההוצאות שנגרמו לרגל ביצוע צווי</w:t>
                        </w:r>
                      </w:p>
                      <w:p w:rsidR="00F37603" w:rsidRDefault="00F3760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גירוש של המסתנן ושל מסתננים אחרים התלויים בו, יכוסו מכספו או מרכושו האחר של</w:t>
                        </w:r>
                      </w:p>
                      <w:p w:rsidR="00F37603" w:rsidRPr="00511F0E" w:rsidRDefault="00F3760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המסתנן.</w:t>
                        </w:r>
                      </w:p>
                    </w:tc>
                  </w:tr>
                  <w:tr w:rsidR="00F37603" w:rsidRPr="00511F0E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37603" w:rsidRDefault="00F3760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מוסיף</w:t>
                        </w:r>
                      </w:p>
                      <w:p w:rsidR="00F37603" w:rsidRPr="00511F0E" w:rsidRDefault="00F3760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ולא גורע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F37603" w:rsidRDefault="00F3760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חוק זה אינו בא לגרוע מאחריותו הפלילית של אדם לפי דין אחר, או מסמכותו</w:t>
                        </w:r>
                      </w:p>
                      <w:p w:rsidR="00F37603" w:rsidRPr="00511F0E" w:rsidRDefault="00F3760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אחר לשפוט על עבירה לפי חוק זה' או מסמכותה של כל רשות אחרת.</w:t>
                        </w:r>
                      </w:p>
                    </w:tc>
                  </w:tr>
                  <w:tr w:rsidR="00F37603" w:rsidRPr="00511F0E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37603" w:rsidRDefault="00F3760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תחולתו</w:t>
                        </w:r>
                      </w:p>
                      <w:p w:rsidR="00F37603" w:rsidRPr="00511F0E" w:rsidRDefault="00F3760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החוק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F37603" w:rsidRDefault="00F3760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חוק זה יפקע תקפו כשתפורסם אכרזה של הכנסת לפי סעיף 9 (ד) לפקודת סדרי</w:t>
                        </w:r>
                      </w:p>
                      <w:p w:rsidR="00F37603" w:rsidRPr="00511F0E" w:rsidRDefault="00F3760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והמשפט' תש"ח-1948 1, כי חדל מצב החירום.</w:t>
                        </w:r>
                      </w:p>
                    </w:tc>
                  </w:tr>
                  <w:tr w:rsidR="00F37603" w:rsidRPr="00511F0E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37603" w:rsidRPr="00511F0E" w:rsidRDefault="00F3760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F37603" w:rsidRDefault="00F3760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שר הבטחון ממונה על ביצוע חוק זה' והוא רשאי להתקין תקנות בכל דבר הנוגע</w:t>
                        </w:r>
                      </w:p>
                      <w:p w:rsidR="00F37603" w:rsidRPr="00511F0E" w:rsidRDefault="00F3760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F37603" w:rsidRDefault="00F3760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37603" w:rsidRDefault="00F37603">
      <w:pPr>
        <w:rPr>
          <w:rtl/>
        </w:rPr>
      </w:pPr>
      <w:r>
        <w:rPr>
          <w:rtl/>
        </w:rPr>
        <w:br w:type="page"/>
      </w:r>
    </w:p>
    <w:p w:rsidR="00F37603" w:rsidRDefault="00000000">
      <w:pPr>
        <w:rPr>
          <w:rtl/>
        </w:rPr>
      </w:pPr>
      <w:r>
        <w:pict>
          <v:shape id="_x0000_s7969" o:spid="_x0000_s1042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7969" inset="0,0,0,0">
              <w:txbxContent>
                <w:p w:rsidR="00F37603" w:rsidRDefault="00F37603">
                  <w:r>
                    <w:rPr>
                      <w:rtl/>
                    </w:rPr>
                    <w:t>164                                          ספר החוקים 161                    כ"ז באב התשי"ד 26.08.1954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7970" o:spid="_x0000_s1043" type="#_x0000_t202" style="position:absolute;left:0;text-align:left;margin-left:75.2pt;margin-top:790pt;width:121.75pt;height:13.05pt;z-index:18;mso-position-horizontal-relative:page;mso-position-vertical-relative:page" stroked="f">
            <v:textbox style="mso-next-textbox:#_x0000_s7970" inset="0,0,0,0">
              <w:txbxContent>
                <w:p w:rsidR="00F37603" w:rsidRDefault="00F3760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607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09BE34-A7BA-4CD3-AAC7-5F5758A69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6076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04B2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22E9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11F0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3760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2008-04-06T18:47:00Z</dcterms:created>
  <dcterms:modified xsi:type="dcterms:W3CDTF">2008-04-06T18:48:00Z</dcterms:modified>
</cp:coreProperties>
</file>