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7A29" w:rsidRDefault="00097A29">
      <w:pPr>
        <w:rPr>
          <w:rtl/>
        </w:rPr>
      </w:pPr>
    </w:p>
    <w:p w:rsidR="00097A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0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007" inset="0,0,0,0">
              <w:txbxContent>
                <w:p w:rsidR="002F1CCB" w:rsidRDefault="002F1CCB">
                  <w:r>
                    <w:rPr>
                      <w:rtl/>
                    </w:rPr>
                    <w:t>56                                           ספר החוקים 882                    ד' בשבט התשל"ח 12.01.1978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8008" o:spid="_x0000_s1026" type="#_x0000_t202" style="position:absolute;left:0;text-align:left;margin-left:93.6pt;margin-top:686.75pt;width:390.05pt;height:66.75pt;z-index:3;mso-position-horizontal-relative:page;mso-position-vertical-relative:page" stroked="f">
            <v:textbox style="mso-next-textbox:#_x0000_s8008" inset="0,0,0,0">
              <w:txbxContent>
                <w:p w:rsidR="002F1CCB" w:rsidRDefault="002F1CCB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תשל''ה (3 בינואר 1978); הצעת החוק ודברי הסבר פורסמו בה"ח 1155, תשל'"ה,</w:t>
                  </w:r>
                </w:p>
                <w:p w:rsidR="002F1CCB" w:rsidRPr="00097A29" w:rsidRDefault="002F1CCB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92. -</w:t>
                  </w:r>
                </w:p>
              </w:txbxContent>
            </v:textbox>
            <w10:wrap anchorx="page" anchory="page"/>
          </v:shape>
        </w:pict>
      </w:r>
      <w:r>
        <w:pict>
          <v:shape id="_x0000_s8009" o:spid="_x0000_s1027" type="#_x0000_t202" style="position:absolute;left:0;text-align:left;margin-left:93.6pt;margin-top:111.4pt;width:460.35pt;height:568.45pt;z-index:2;mso-position-horizontal-relative:page;mso-position-vertical-relative:page" stroked="f">
            <v:textbox style="mso-next-textbox:#_x0000_s800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202"/>
                  </w:tblGrid>
                  <w:tr w:rsidR="002F1CCB" w:rsidRPr="00097A2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F1CCB" w:rsidRDefault="002F1CC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כחוק זה -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"נספה" - מי שעקבותיו נעלמו זה שנתיים, ויש יסוד להנחה שהוא מת עקב מאורעות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או מאורעות טבע או תאונה;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"נספה שנות השואה" - מי שמקום מגוריו האחרון היה באסיה, באירופה או באפריקה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ובשנות 1945-1939 נעלמו עקבותיו בנסיבות הנותנות יסוד לשער שמת עקב מאורעות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או עקב רדיפות גזעיות, דתיות, מדיניות או לאומיות: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"נעדר" - מי שאיננו נספה או נספה שנות השואה ועקבותיו נעלמו זה שבע שנים ובל המאמ-</w:t>
                        </w:r>
                      </w:p>
                      <w:p w:rsidR="002F1CCB" w:rsidRPr="00097A29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צים לגלות את עקבותיו לא הצליחו, ובנסיבות הענין יש יסוד להנחה שמת.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F1CCB" w:rsidRPr="00097A29" w:rsidRDefault="002F1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2F1CCB" w:rsidRPr="00097A2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F1CCB" w:rsidRDefault="002F1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בית המשפט המחוזי כירושלים רשאי, על פי בקשתו של מעונין או על פי בקשת היועץ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בא-כוחו, להצהיר על מותו של נספה, נספה שנות השואה או נעדר אם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נתקיימה בו אחת מאלה: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מושבו האחרון או מקום מגוריו האחרון היה בארץ ישראל: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רבושו נמצא בישראל;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עקבותיו נעלמו בארץ ישראל;</w:t>
                        </w:r>
                      </w:p>
                      <w:p w:rsidR="002F1CCB" w:rsidRPr="00097A29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מושבו או מקום מגוריו של המבקש הוא בישראל.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F1CCB" w:rsidRPr="00097A29" w:rsidRDefault="002F1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על מוות</w:t>
                        </w:r>
                      </w:p>
                    </w:tc>
                  </w:tr>
                  <w:tr w:rsidR="002F1CCB" w:rsidRPr="00097A2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F1CCB" w:rsidRDefault="002F1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בית המשפט יקבע את מותו של נספה או של בספה שבות השואה או של נעדר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יום המוות ושעתו על סמך כל ראיה שהובאה לפניו בדבר הנסיבות או הזמן שבהם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אירע המוות.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ראה בית המשפט לקבוע כאמור בסעיף קטן (א), יקבע את המוות, יומו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ושעתו -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נספה - בתום שנתיים מיום שנעלמו עקבותיו: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נספה שנות השואה - ביום שבו נעלמו עקבותיו;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נעדר - בתום שבע שנים מהיום שבו נעלמו עקבותיו.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היום שבו נעלמו עקבותיו של אדם הוא היום שבו היה הסימן הידוע האחרון על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בחיים.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כאין כל ראיה בדבר שעת המוות, ייקבע שהמוות אירע ברגע האחרון של יום</w:t>
                        </w:r>
                      </w:p>
                      <w:p w:rsidR="002F1CCB" w:rsidRPr="00097A29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המוות המוצהר.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F1CCB" w:rsidRPr="00097A29" w:rsidRDefault="002F1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זמן המוות</w:t>
                        </w:r>
                      </w:p>
                    </w:tc>
                  </w:tr>
                  <w:tr w:rsidR="002F1CCB" w:rsidRPr="00097A2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F1CCB" w:rsidRDefault="002F1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בית המשפט יתקן הצהרת מוות, אם מי שזכאי היה לבקש את ההצהרה הביא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ראיה שיום המוות או שעתו או פרט אחר מפרטי ההצהרה שונים מאלה שבהצהרה.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יבטל הצהרת מוות לפי בקשת אדם שעל מותו הוצהר, או אם מי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שזכאי היה לבקש את ההצהרה הביא לפני בית המשפט ראיה שהאדם שעל מותו הוצהר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עודנו בחיים.</w:t>
                        </w:r>
                      </w:p>
                      <w:p w:rsidR="002F1CCB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בתיקונה או בביטולה של הצהרת מוות כדי לגרוע מזכויות ברכוש או</w:t>
                        </w:r>
                      </w:p>
                      <w:p w:rsidR="002F1CCB" w:rsidRPr="00097A29" w:rsidRDefault="002F1C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מזכויות אחרות שנרכשו בתמורה ובתום לב עקב ההצהרה לפני התיקון או הביטול.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F1CCB" w:rsidRDefault="002F1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הצהרת</w:t>
                        </w:r>
                      </w:p>
                      <w:p w:rsidR="002F1CCB" w:rsidRPr="00097A29" w:rsidRDefault="002F1C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מוות או גיטולה</w:t>
                        </w:r>
                      </w:p>
                    </w:tc>
                  </w:tr>
                </w:tbl>
                <w:p w:rsidR="002F1CCB" w:rsidRDefault="002F1C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10" o:spid="_x0000_s1028" type="#_x0000_t202" style="position:absolute;left:0;text-align:left;margin-left:194.2pt;margin-top:85.05pt;width:202.35pt;height:25.35pt;z-index:1;mso-position-horizontal-relative:page;mso-position-vertical-relative:page" stroked="f">
            <v:textbox style="mso-next-textbox:#_x0000_s8010" inset="0,0,0,0">
              <w:txbxContent>
                <w:p w:rsidR="002F1CCB" w:rsidRPr="00097A29" w:rsidRDefault="002F1CCB">
                  <w:pPr>
                    <w:pStyle w:val="OCRStyle1"/>
                    <w:ind w:left="2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הצהרות מוות, תשל"ח-1978 *</w:t>
                  </w:r>
                </w:p>
              </w:txbxContent>
            </v:textbox>
            <w10:wrap anchorx="page" anchory="page"/>
          </v:shape>
        </w:pict>
      </w:r>
    </w:p>
    <w:p w:rsidR="004744C7" w:rsidRDefault="004744C7">
      <w:pPr>
        <w:rPr>
          <w:rtl/>
        </w:rPr>
      </w:pPr>
      <w:r>
        <w:rPr>
          <w:rtl/>
        </w:rPr>
        <w:br w:type="page"/>
      </w:r>
    </w:p>
    <w:p w:rsidR="004744C7" w:rsidRDefault="00000000">
      <w:pPr>
        <w:rPr>
          <w:rtl/>
        </w:rPr>
      </w:pPr>
      <w:r>
        <w:pict>
          <v:shape id="_x0000_s801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011" inset="0,0,0,0">
              <w:txbxContent>
                <w:p w:rsidR="002F1CCB" w:rsidRDefault="002F1CCB">
                  <w:r>
                    <w:rPr>
                      <w:rtl/>
                    </w:rPr>
                    <w:t>57                                           ספר החוקים 882                    ד' בשבט התשל"ח 12.01.1978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8012" o:spid="_x0000_s1030" type="#_x0000_t202" style="position:absolute;left:0;text-align:left;margin-left:387pt;margin-top:548.8pt;width:163.15pt;height:214.85pt;z-index:9;mso-position-horizontal-relative:page;mso-position-vertical-relative:page" stroked="f">
            <v:textbox style="mso-next-textbox:#_x0000_s8012" inset="0,0,0,0">
              <w:txbxContent>
                <w:p w:rsidR="002F1CCB" w:rsidRDefault="002F1CCB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1 כתבי אמנה 17/ כרך 1, עמ' 186.</w:t>
                  </w:r>
                </w:p>
                <w:p w:rsidR="002F1CCB" w:rsidRDefault="002F1CCB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 ס''ת תשי"ח, עמ' 68.</w:t>
                  </w:r>
                </w:p>
                <w:p w:rsidR="002F1CCB" w:rsidRDefault="002F1CCB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3 ס"ח תשי"ב, עמי .134</w:t>
                  </w:r>
                </w:p>
                <w:p w:rsidR="002F1CCB" w:rsidRPr="004744C7" w:rsidRDefault="002F1CCB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4 ס"ח תשכ"ה, עמ' .63</w:t>
                  </w:r>
                </w:p>
              </w:txbxContent>
            </v:textbox>
            <w10:wrap anchorx="page" anchory="page"/>
          </v:shape>
        </w:pict>
      </w:r>
      <w:r>
        <w:pict>
          <v:shape id="_x0000_s8013" o:spid="_x0000_s1031" type="#_x0000_t202" style="position:absolute;left:0;text-align:left;margin-left:177.1pt;margin-top:460.9pt;width:97.2pt;height:38.8pt;z-index:8;mso-position-horizontal-relative:page;mso-position-vertical-relative:page" stroked="f">
            <v:textbox style="mso-next-textbox:#_x0000_s8013" inset="0,0,0,0">
              <w:txbxContent>
                <w:p w:rsidR="002F1CCB" w:rsidRDefault="002F1CCB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2F1CCB" w:rsidRDefault="002F1CCB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014" o:spid="_x0000_s1032" type="#_x0000_t202" style="position:absolute;left:0;text-align:left;margin-left:301.45pt;margin-top:463.25pt;width:85.55pt;height:31.5pt;z-index:7;mso-position-horizontal-relative:page;mso-position-vertical-relative:page" stroked="f">
            <v:textbox style="mso-next-textbox:#_x0000_s8014" inset="0,0,0,0">
              <w:txbxContent>
                <w:p w:rsidR="002F1CCB" w:rsidRDefault="002F1CC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F1CCB" w:rsidRDefault="002F1CCB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15" o:spid="_x0000_s1033" type="#_x0000_t202" style="position:absolute;left:0;text-align:left;margin-left:445.4pt;margin-top:486.25pt;width:103.15pt;height:37.2pt;z-index:6;mso-position-horizontal-relative:page;mso-position-vertical-relative:page" stroked="f">
            <v:textbox style="mso-next-textbox:#_x0000_s8015" inset="0,0,0,0">
              <w:txbxContent>
                <w:p w:rsidR="002F1CCB" w:rsidRDefault="002F1CCB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F1CCB" w:rsidRDefault="002F1CCB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16" o:spid="_x0000_s1034" type="#_x0000_t202" style="position:absolute;left:0;text-align:left;margin-left:86.6pt;margin-top:86.85pt;width:462.75pt;height:355.4pt;z-index:5;mso-position-horizontal-relative:page;mso-position-vertical-relative:page" stroked="f">
            <v:textbox style="mso-next-textbox:#_x0000_s80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133"/>
                  </w:tblGrid>
                  <w:tr w:rsidR="002F1CCB" w:rsidRPr="004744C7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בית המשפט, כשהוא דן בבקשה להצהרת מוות, לתיקונה או לביטולה, רשאי לסטות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מדיני הראיות, אם הוא משוכנע שנסיבות הענין מצדיקות סטיה כזאת? החליט בית המשפט</w:t>
                        </w:r>
                      </w:p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לסטות מדיני הראיות, ירשום את הטעמים שהניעוהו להחלטתו.</w:t>
                        </w:r>
                      </w:p>
                    </w:tc>
                  </w:tr>
                  <w:tr w:rsidR="002F1CCB" w:rsidRPr="004744C7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 מוות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תפגע</w:t>
                        </w:r>
                      </w:p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בדיני נישואין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(א) הצהרת מוות המשמשת ראיה מכוח חוק זה לא תפגע בדיני התרת נישואין.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הצהרת מוות, ימציא רשם בית המשפט העתק ההצהרה לבית הדין הדתי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המוסמך לגבי האדם שעל מותו הוצהר, או לגבי בן זוגו, כחומר בדיוני בית הדין</w:t>
                        </w:r>
                      </w:p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הדתי בבקשת היתר נישואין.</w:t>
                        </w:r>
                      </w:p>
                    </w:tc>
                  </w:tr>
                  <w:tr w:rsidR="002F1CCB" w:rsidRPr="004744C7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הצהרות הוץ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הצהרת מוות שניתנה כדין לפי האמנה בדבר הצהרה על מותם של נעדרים,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ניו-יורק, 11950, תשמש ראיה לכאורה בדבר המוות ומועד המוות.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אינו גורע, לגבי הצהרות מוות אחרות, מהאמור בסעיף 11 לחוק</w:t>
                        </w:r>
                      </w:p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אכיפת פסקי חוץ, תשי"ח-1958 .2</w:t>
                        </w:r>
                      </w:p>
                    </w:tc>
                  </w:tr>
                  <w:tr w:rsidR="002F1CCB" w:rsidRPr="004744C7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שר המשפטים ממונה על ביצוע חוק זה.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בכל ענין הנוגע לביצוע חוק זה, ובכללן</w:t>
                        </w:r>
                      </w:p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בענין סדרי דין, אגרות בית משפט וערעור.</w:t>
                        </w:r>
                      </w:p>
                    </w:tc>
                  </w:tr>
                  <w:tr w:rsidR="002F1CCB" w:rsidRPr="004744C7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הצהרות מוות, תשי"ב-31952 - בטל.</w:t>
                        </w:r>
                      </w:p>
                    </w:tc>
                  </w:tr>
                  <w:tr w:rsidR="002F1CCB" w:rsidRPr="004744C7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חוק זה יחול אף על אדם שעקבותיו נעלמו לפני תחילתו.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נקבעו, אגב דיון בהליכים לפי חוק הירושה, תשכ"ה-1965 4,  לפני תחילתו של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עובדת מותו של אדם פלוני ומועד המוות, לא תבוטל ולא תשונה ההחלטה בהליכים</w:t>
                        </w:r>
                      </w:p>
                      <w:p w:rsidR="002F1CCB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על יסוד הצהרת מוות שניתנה לגבי אותו אדם לפי סעיף 3 (כ), אלא מטעמים מיוחדים</w:t>
                        </w:r>
                      </w:p>
                      <w:p w:rsidR="002F1CCB" w:rsidRPr="004744C7" w:rsidRDefault="002F1C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שיפורשו בהחלטת הביטול או השינוי.</w:t>
                        </w:r>
                      </w:p>
                    </w:tc>
                  </w:tr>
                </w:tbl>
                <w:p w:rsidR="002F1CCB" w:rsidRDefault="002F1C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F1CCB" w:rsidRDefault="002F1CCB">
      <w:pPr>
        <w:rPr>
          <w:rtl/>
        </w:rPr>
      </w:pPr>
      <w:r>
        <w:rPr>
          <w:rtl/>
        </w:rPr>
        <w:br w:type="page"/>
      </w:r>
    </w:p>
    <w:p w:rsidR="002F1CCB" w:rsidRDefault="00000000">
      <w:pPr>
        <w:rPr>
          <w:rtl/>
        </w:rPr>
      </w:pPr>
      <w:r>
        <w:pict>
          <v:shape id="_x0000_s8017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8017" inset="0,0,0,0">
              <w:txbxContent>
                <w:p w:rsidR="002F1CCB" w:rsidRDefault="002F1CCB">
                  <w:r>
                    <w:rPr>
                      <w:rtl/>
                    </w:rPr>
                    <w:t>58                                           ספר החוקים 882                    ד' בשבט התשל"ח 12.01.1978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8018" o:spid="_x0000_s1036" type="#_x0000_t202" style="position:absolute;left:0;text-align:left;margin-left:101.95pt;margin-top:720.7pt;width:143.15pt;height:38.8pt;z-index:11;mso-position-horizontal-relative:page;mso-position-vertical-relative:page" stroked="f">
            <v:textbox style="mso-next-textbox:#_x0000_s8018" inset="0,0,0,0">
              <w:txbxContent>
                <w:p w:rsidR="002F1CCB" w:rsidRDefault="002F1C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7A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3F0BB4-BF8B-4EEF-BD81-7CDB98EC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7A2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744C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F1C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2008-04-06T23:33:00Z</dcterms:created>
  <dcterms:modified xsi:type="dcterms:W3CDTF">2008-04-06T23:33:00Z</dcterms:modified>
</cp:coreProperties>
</file>