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7E58" w:rsidRDefault="00F87E58">
      <w:pPr>
        <w:rPr>
          <w:rtl/>
        </w:rPr>
      </w:pPr>
    </w:p>
    <w:p w:rsidR="00F87E5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06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065" inset="0,0,0,0">
              <w:txbxContent>
                <w:p w:rsidR="00410CA9" w:rsidRDefault="00410CA9">
                  <w:r>
                    <w:rPr>
                      <w:rtl/>
                    </w:rPr>
                    <w:t>262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066" o:spid="_x0000_s1026" type="#_x0000_t202" style="position:absolute;left:0;text-align:left;margin-left:86.35pt;margin-top:669.8pt;width:378pt;height:93.05pt;z-index:3;mso-position-horizontal-relative:page;mso-position-vertical-relative:page" stroked="f">
            <v:textbox style="mso-next-textbox:#_x0000_s8066" inset="0,0,0,0">
              <w:txbxContent>
                <w:p w:rsidR="00410CA9" w:rsidRDefault="00410CA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ביתו כ"ד בתמוז תשל"ג (24 ביולי 1973); הצעת החוק ודברי הסבר פורסמו בה"ח 992 ,תשל"ב,</w:t>
                  </w:r>
                </w:p>
                <w:p w:rsidR="00410CA9" w:rsidRDefault="00410CA9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226.</w:t>
                  </w:r>
                </w:p>
                <w:p w:rsidR="00410CA9" w:rsidRDefault="00410CA9">
                  <w:pPr>
                    <w:pStyle w:val="OCRStyle1"/>
                    <w:ind w:left="2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 פרק י"ד עמ' 107; ס"ח  תשי"ד, עמי 40.</w:t>
                  </w:r>
                </w:p>
                <w:p w:rsidR="00410CA9" w:rsidRPr="00F87E58" w:rsidRDefault="00410CA9">
                  <w:pPr>
                    <w:pStyle w:val="OCRStyle1"/>
                    <w:ind w:left="25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תשל"ב, עמ' .176</w:t>
                  </w:r>
                </w:p>
              </w:txbxContent>
            </v:textbox>
            <w10:wrap anchorx="page" anchory="page"/>
          </v:shape>
        </w:pict>
      </w:r>
      <w:r>
        <w:pict>
          <v:shape id="_x0000_s8067" o:spid="_x0000_s1027" type="#_x0000_t202" style="position:absolute;left:0;text-align:left;margin-left:83.75pt;margin-top:115.4pt;width:457.2pt;height:554.4pt;z-index:2;mso-position-horizontal-relative:page;mso-position-vertical-relative:page" stroked="f">
            <v:textbox style="mso-next-textbox:#_x0000_s806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2"/>
                    <w:gridCol w:w="1187"/>
                    <w:gridCol w:w="1245"/>
                  </w:tblGrid>
                  <w:tr w:rsidR="00410CA9" w:rsidRPr="00F87E58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410CA9" w:rsidRDefault="00410CA9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בסעיף 2 לפקודת ההקדשות לצרכי צדקה 1 (להלן - הפקודה), אחרי סעיף קטן (2)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בפקודה זו, "המפקח" - מפקח על ההקדשות שנתמנה לפי</w:t>
                        </w:r>
                      </w:p>
                      <w:p w:rsidR="00410CA9" w:rsidRPr="00F87E58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40."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10CA9" w:rsidRPr="00F87E58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10CA9" w:rsidRPr="00F87E58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410CA9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כסעיף 3 לפקודה -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(1) יבוא: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הקדש לצרכי צדקה נוצר על פי צוואה בת תוקף של המקדיש,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שטר הקדש שחתם עליו המקדיש בפני המפקח או על פי שטר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 שחתם עליו המקדיש בפני נוטריון ציבורי והנוטריון הציבורי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העבירו למפקח; לצוואה או לשטר כאמור ייקרא להלן "כתב הקדשה".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היה נכס מנכסי ההקדש רשום בפנקס על פי חיקוק, יתן המפקח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כך לממונה על אותו פנקס והממונה ירשום הערה על היות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נכס הקדש.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המשפטים רשאי לקבוע בתקנות את צורתו של שטר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 ואת הפרטים שיש לכלול בו;".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(2) יסומן (4), ובו - פסקה (ד) - בטלה, והמלה "והוא" שבסוף</w:t>
                        </w:r>
                      </w:p>
                      <w:p w:rsidR="00410CA9" w:rsidRPr="00F87E58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פסקה (ג) - תימחק.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10CA9" w:rsidRPr="00F87E58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10CA9" w:rsidRPr="00F87E58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410CA9" w:rsidRPr="00F87E58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- 3. במקום סעיף 8 לפקודה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10CA9" w:rsidRPr="00F87E58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410CA9">
                    <w:trPr>
                      <w:jc w:val="right"/>
                    </w:trPr>
                    <w:tc>
                      <w:tcPr>
                        <w:tcW w:w="3537" w:type="pct"/>
                      </w:tcPr>
                      <w:p w:rsidR="00410CA9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היו בנכסי ההקדש, בשעת עשיית ההקדש או לאחר מכן, כספים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דרושים לצרכים השוטפים של ההקדש, חייב הנאמן, בכפוף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שניתנו בענין זה בכתב ההקדשה, להחזיקם או להשקיעם באחת</w:t>
                        </w:r>
                      </w:p>
                      <w:p w:rsidR="00410CA9" w:rsidRPr="00F87E58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הדרכים שקבע לכך שר המשפטים בתקנות או כדרך שהורה בית המשפט."</w:t>
                        </w:r>
                      </w:p>
                    </w:tc>
                    <w:tc>
                      <w:tcPr>
                        <w:tcW w:w="714" w:type="pct"/>
                      </w:tcPr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"השקעת כספי</w:t>
                        </w:r>
                      </w:p>
                      <w:p w:rsidR="00410CA9" w:rsidRPr="00F87E58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ההקדש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410CA9" w:rsidRPr="00F87E58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410CA9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12 (3) לפקודה, אחרי "ליותר משלוש שנים" יבוא "או בשכירות המקנה</w:t>
                        </w:r>
                      </w:p>
                      <w:p w:rsidR="00410CA9" w:rsidRPr="00F87E58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על פי חוק הגנת הדייר (נוסח משולב, תשל"ב-21972."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10CA9" w:rsidRPr="00F87E58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410CA9" w:rsidRPr="00F87E58">
                    <w:trPr>
                      <w:jc w:val="right"/>
                    </w:trPr>
                    <w:tc>
                      <w:tcPr>
                        <w:tcW w:w="4251" w:type="pct"/>
                        <w:gridSpan w:val="2"/>
                      </w:tcPr>
                      <w:p w:rsidR="00410CA9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22 לפקודה -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(1), במקום פסקה (כ) יבוא: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 באין אדם כזה היכול ומוכן לפעול - המקדיש בעצמו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הוא מסוגל לפעול;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באין המקדיש כאמור, ובאישור בית המשפט - הנאמן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הנאמנים שנשאת כחיים ומוסיפים לשמש כתפקידם, או</w:t>
                        </w:r>
                      </w:p>
                      <w:p w:rsidR="00410CA9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הנאמנים שהתפטרו אם התפטרו כולם כעת ובעונה אחת, או</w:t>
                        </w:r>
                      </w:p>
                      <w:p w:rsidR="00410CA9" w:rsidRPr="00F87E58" w:rsidRDefault="00410C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הנאמן שהתפטר לאחרונה.";</w:t>
                        </w:r>
                      </w:p>
                    </w:tc>
                    <w:tc>
                      <w:tcPr>
                        <w:tcW w:w="749" w:type="pct"/>
                      </w:tcPr>
                      <w:p w:rsidR="00410CA9" w:rsidRPr="00F87E58" w:rsidRDefault="00410C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</w:tbl>
                <w:p w:rsidR="00410CA9" w:rsidRDefault="00410C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068" o:spid="_x0000_s1028" type="#_x0000_t202" style="position:absolute;left:0;text-align:left;margin-left:85.55pt;margin-top:87.85pt;width:368.5pt;height:24.95pt;z-index:1;mso-position-horizontal-relative:page;mso-position-vertical-relative:page" stroked="f">
            <v:textbox style="mso-next-textbox:#_x0000_s8068" inset="0,0,0,0">
              <w:txbxContent>
                <w:p w:rsidR="00410CA9" w:rsidRPr="00F87E58" w:rsidRDefault="00410CA9">
                  <w:pPr>
                    <w:pStyle w:val="OCRStyle1"/>
                    <w:ind w:left="140"/>
                    <w:rPr>
                      <w:sz w:val="30"/>
                      <w:szCs w:val="30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ההקדשות לצרכי צדקה (מס' 2), תשל"ג-1973 *</w:t>
                  </w:r>
                </w:p>
              </w:txbxContent>
            </v:textbox>
            <w10:wrap anchorx="page" anchory="page"/>
          </v:shape>
        </w:pict>
      </w:r>
    </w:p>
    <w:p w:rsidR="009C3F5C" w:rsidRDefault="009C3F5C">
      <w:pPr>
        <w:rPr>
          <w:rtl/>
        </w:rPr>
      </w:pPr>
      <w:r>
        <w:rPr>
          <w:rtl/>
        </w:rPr>
        <w:br w:type="page"/>
      </w:r>
    </w:p>
    <w:p w:rsidR="009C3F5C" w:rsidRDefault="00000000">
      <w:pPr>
        <w:rPr>
          <w:rtl/>
        </w:rPr>
      </w:pPr>
      <w:r>
        <w:pict>
          <v:shape id="_x0000_s806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069" inset="0,0,0,0">
              <w:txbxContent>
                <w:p w:rsidR="00410CA9" w:rsidRDefault="00410CA9">
                  <w:r>
                    <w:rPr>
                      <w:rtl/>
                    </w:rPr>
                    <w:t>263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070" o:spid="_x0000_s1030" type="#_x0000_t202" style="position:absolute;left:0;text-align:left;margin-left:377.3pt;margin-top:741.5pt;width:157.6pt;height:18.2pt;z-index:6;mso-position-horizontal-relative:page;mso-position-vertical-relative:page" stroked="f">
            <v:textbox style="mso-next-textbox:#_x0000_s8070" inset="0,0,0,0">
              <w:txbxContent>
                <w:p w:rsidR="00410CA9" w:rsidRDefault="00410C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8071" o:spid="_x0000_s1031" type="#_x0000_t202" style="position:absolute;left:0;text-align:left;margin-left:81.3pt;margin-top:85.55pt;width:455.4pt;height:654.4pt;z-index:5;mso-position-horizontal-relative:page;mso-position-vertical-relative:page" stroked="f">
            <v:textbox style="mso-next-textbox:#_x0000_s807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5"/>
                    <w:gridCol w:w="5785"/>
                    <w:gridCol w:w="1328"/>
                  </w:tblGrid>
                  <w:tr w:rsidR="00410CA9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(2) יבוא: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מינוי נאמן חדש לפי סעיף קטן (1) יהיה בכתב והממנה יודיע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על המינוי למפקח.";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(3), אחרי "אפשר" יבוא "באישור בית המשפט".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410CA9" w:rsidRPr="009C3F5C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410CA9" w:rsidRPr="009C3F5C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הוספת סעיף 25א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410CA9" w:rsidRPr="009C3F5C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25 לפקודה יבוא:</w:t>
                        </w:r>
                      </w:p>
                    </w:tc>
                  </w:tr>
                  <w:tr w:rsidR="00410CA9" w:rsidRPr="009C3F5C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המבקש לרשום נכס מנכסי ההקדש על שם הנאמנים בפנקס המתנהל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חיקוק, חייב להודיע על היות הנכס נכס של הקדש לממונה על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הפנקס, ומשהודיע כאמור, ירשום הממונה הערה על כך באותו פנקס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ויודיע על הרישום למפקח."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"רישום הערה</w:t>
                        </w:r>
                      </w:p>
                      <w:p w:rsidR="00410CA9" w:rsidRPr="009C3F5C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נכס הקדש</w:t>
                        </w:r>
                      </w:p>
                    </w:tc>
                  </w:tr>
                  <w:tr w:rsidR="00410CA9" w:rsidRPr="009C3F5C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410CA9" w:rsidRPr="009C3F5C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410CA9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26(ג) לפקודה, המלים "בתנאי שיתחשבו עם סמכותו של בית המשפט על פי</w:t>
                        </w:r>
                      </w:p>
                      <w:p w:rsidR="00410CA9" w:rsidRPr="009C3F5C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28" - יימחקו.</w:t>
                        </w:r>
                      </w:p>
                    </w:tc>
                  </w:tr>
                  <w:tr w:rsidR="00410CA9" w:rsidRPr="009C3F5C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410CA9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410CA9" w:rsidRPr="009C3F5C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27א עד27</w:t>
                        </w:r>
                      </w:p>
                    </w:tc>
                    <w:tc>
                      <w:tcPr>
                        <w:tcW w:w="4296" w:type="pct"/>
                        <w:gridSpan w:val="2"/>
                      </w:tcPr>
                      <w:p w:rsidR="00410CA9" w:rsidRPr="009C3F5C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8, אחרי סעיף 27 לפקודה יבוא:</w:t>
                        </w:r>
                      </w:p>
                    </w:tc>
                  </w:tr>
                  <w:tr w:rsidR="00410CA9" w:rsidRPr="009C3F5C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המפקח ינהל פנקס הקדשות (להלן - הפנקס), וירשום בו כל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 שהובא לידיעתו.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נאמן של הקדש חייב לבקש רישומו של ההקדש בפנקס אם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נרשם בו לפני כן, תוך שלושה חדשים מן היום שבו הסכים לשמש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או מן היום שקיבל לידו נכס מנכסי ההקדש, הכל לפי המוקדם.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יפרסם ברשומות פעם בשנה את רשימת ההקדשות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שבפיקוחו, במועד ובצורה שקבעם שר המשפטים.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10CA9" w:rsidRPr="009C3F5C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רישום</w:t>
                        </w:r>
                      </w:p>
                    </w:tc>
                  </w:tr>
                  <w:tr w:rsidR="00410CA9" w:rsidRPr="009C3F5C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27ב. (א) בבקשה האמורה בסעיף 27א (ב) ימסור הנאמן למפקח את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הפרטים הבאים, והם יירשמו בפנקס אם לא נרשמו בו לפני כך: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שמו ומענו של המקדיש;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 הקמת ההקדש;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צרכי הצדקה שלמענם נוצר ההקדש;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שמותיהם ומעניהם של נאמני ההקדש;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נכסי ההקדש;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סרטים אחרים שקבע שר המשפטים.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הנאמן יצרף לבקשה העתק מכתב ההקדשה, זולת אם הופקד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במשרדו של המפקח לפני כן.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חלו שינויים בפרטים האמורים בסעיף קטן (א), ימסור הנאמן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למפקח תוך ששה חדשים מיום השינוי והם יירשמו בפנקס האמור.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10CA9" w:rsidRPr="009C3F5C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הרישום</w:t>
                        </w:r>
                      </w:p>
                    </w:tc>
                  </w:tr>
                  <w:tr w:rsidR="00410CA9" w:rsidRPr="009C3F5C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4" w:type="pct"/>
                      </w:tcPr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27ג. (א) נאמן של הקדש ימסור למפקח, אחת לשנה דיך-וחשבון על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ההקדש.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בתקנות את המועד שבו יש</w:t>
                        </w:r>
                      </w:p>
                      <w:p w:rsidR="00410CA9" w:rsidRDefault="00410C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למסור דין וחשבון כאמור בסעיף קטן (א), את הפרטים שיש לגלול בדין</w:t>
                        </w:r>
                      </w:p>
                    </w:tc>
                    <w:tc>
                      <w:tcPr>
                        <w:tcW w:w="802" w:type="pct"/>
                      </w:tcPr>
                      <w:p w:rsidR="00410CA9" w:rsidRPr="009C3F5C" w:rsidRDefault="00410CA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דיווח</w:t>
                        </w:r>
                      </w:p>
                    </w:tc>
                  </w:tr>
                </w:tbl>
                <w:p w:rsidR="00410CA9" w:rsidRDefault="00410C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B2EEC" w:rsidRDefault="003B2EEC">
      <w:pPr>
        <w:rPr>
          <w:rtl/>
        </w:rPr>
      </w:pPr>
      <w:r>
        <w:rPr>
          <w:rtl/>
        </w:rPr>
        <w:br w:type="page"/>
      </w:r>
    </w:p>
    <w:p w:rsidR="003B2EEC" w:rsidRDefault="00000000">
      <w:pPr>
        <w:rPr>
          <w:rtl/>
        </w:rPr>
      </w:pPr>
      <w:r>
        <w:pict>
          <v:shape id="_x0000_s8072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8072" inset="0,0,0,0">
              <w:txbxContent>
                <w:p w:rsidR="00410CA9" w:rsidRDefault="00410CA9">
                  <w:r>
                    <w:rPr>
                      <w:rtl/>
                    </w:rPr>
                    <w:t>264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073" o:spid="_x0000_s1033" type="#_x0000_t202" style="position:absolute;left:0;text-align:left;margin-left:102.1pt;margin-top:738.8pt;width:160.95pt;height:27.5pt;z-index:10;mso-position-horizontal-relative:page;mso-position-vertical-relative:page" stroked="f">
            <v:textbox style="mso-next-textbox:#_x0000_s8073" inset="0,0,0,0">
              <w:txbxContent>
                <w:p w:rsidR="00410CA9" w:rsidRDefault="00410CA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8074" o:spid="_x0000_s1034" type="#_x0000_t202" style="position:absolute;left:0;text-align:left;margin-left:373.95pt;margin-top:702.6pt;width:112.85pt;height:29.3pt;z-index:9;mso-position-horizontal-relative:page;mso-position-vertical-relative:page" stroked="f">
            <v:textbox style="mso-next-textbox:#_x0000_s8074" inset="0,0,0,0">
              <w:txbxContent>
                <w:p w:rsidR="00410CA9" w:rsidRDefault="00410CA9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3 ס"ח תשי"ג, עמי 2.</w:t>
                  </w:r>
                </w:p>
                <w:p w:rsidR="00410CA9" w:rsidRPr="003B2EEC" w:rsidRDefault="00410CA9">
                  <w:pPr>
                    <w:pStyle w:val="OCRStyle3"/>
                    <w:ind w:left="223"/>
                  </w:pPr>
                  <w:r>
                    <w:rPr>
                      <w:rtl/>
                    </w:rPr>
                    <w:t>4 ס"ח תשכ"ס, עמי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8075" o:spid="_x0000_s1035" type="#_x0000_t202" style="position:absolute;left:0;text-align:left;margin-left:113.15pt;margin-top:100.05pt;width:453.6pt;height:599.95pt;z-index:8;mso-position-horizontal-relative:page;mso-position-vertical-relative:page" stroked="f">
            <v:textbox style="mso-next-textbox:#_x0000_s807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02"/>
                    <w:gridCol w:w="1376"/>
                    <w:gridCol w:w="1270"/>
                  </w:tblGrid>
                  <w:tr w:rsidR="00410CA9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וחשבון, אם בדרך כלל ואם לסוג מסויים של הקדשות, ואת הדרך שכה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יוגש הדין וחשבון למפקח : ורשאי הוא לקבוע דרבים שונות וטפסים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שובים בהתאם לסוגי ההקדש, נכסיו והכנסותיו. /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27ד. (א) הקדש שהכנסתו אינה עולה על סכום שקבע שר המשפטים,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הנאמן מהגשת דין וחשבון לפי סעיף 27ג; אולם עליו להודיע מיד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על כל שינוי בנאמני ההקדש.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לפטור הקדש מהוראות סעיף 27ג, אם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סבור שקיים לגביו פיקוח נאות של המדינה או מטעמה; הודעה על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כאמור תימסר למפקח ותפורסם ברשומות.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שר המשפטים רשאי להורות, באישור ועדת החוקה חוק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כי הוראות פקודה זו, כולן או מקצתן, לא יחולו על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הקדש לצרכי צדקה או חברה לתועלת הציבור שהקימה הנהלת הסוכנות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היהודית או שנטלה חלק בהקמתו; לענץ זה, "הסוכנות היהודית" -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ההנהלה הציונית והנהלת הסוכנות היהודית לארץ ישראל כמשמעותן בחוק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ההסתדרות הציונית העולמית - הסוכנות היהודית לארץ ישראל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_תשי"ג_1952 3, לרבות קרן היסוד-המגבית המאוחדת לישראל והקרן</w:t>
                        </w:r>
                      </w:p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הקיימת לישראל.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10CA9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27ה. מי שיש לו ענין בכך רשאי, לאחר תשלום אגרה שקבע שר המש-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פטים, לעיין בפנקס ובדו"חות שנמסרו למפקח לפי סעיף .127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עיון ברישומים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10CA9" w:rsidRPr="003B2EEC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27ו. המפקח רשאי לדרוש ממי שמסר לו פרטים כאמור בסעיפים 27א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27ג, או ממי שלדעתו היה חייב למסרם לו -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שיתן לו, בעל פה או בכתב, כל ידיעה הנוגעת לעניני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ההקדש;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שימסור לו העתק מכל מסמך הנוגע לעניני ההקדש.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 למסור</w:t>
                        </w:r>
                      </w:p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</w:t>
                        </w:r>
                      </w:p>
                    </w:tc>
                  </w:tr>
                  <w:tr w:rsidR="00410CA9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27ז. חשש המפקח כי קיים הקדש שלא נרשם לפי סעיף 27א או שבראה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שלא הוגש דין-וחשבון לפי סעיף 27ג לגבי הקדש שנרשם, או שפר-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טים, ידיעות או מסמכים שחובה למסור לפי פקודה זו לא במסרו או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שאיבם בבונים או מלאים, רשאי הוא לחקור בענין, ויהיו לו הסמכויות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סעיפים 9 עד 11 לחוק ועדות חקירה, תשכ"ט-1968 4.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10CA9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27ח. מי שלא מסר הודעה כאמור בסעיפים 22 (2) או 25א, או לא מילא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הוראה מהוראות סעיפים 27א עד 27ג או תקנות על פיהם, או לא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ציית לדרישת המפקח לפי סעיף 27ו, או לא מילא אחרי האמור בסעיף 5,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קנם 5,000 לירות; עשה כאמור בכוונת מרמה, דינו - מאסר שנה</w:t>
                        </w:r>
                      </w:p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אחת:, אין בסעיף זה כדי לגרוע מן האמור ככל דין אחר."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10CA9" w:rsidRPr="003B2EEC">
                    <w:trPr>
                      <w:jc w:val="right"/>
                    </w:trPr>
                    <w:tc>
                      <w:tcPr>
                        <w:tcW w:w="4230" w:type="pct"/>
                        <w:gridSpan w:val="2"/>
                      </w:tcPr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במקום מעיף 28 לפקודה יבוא: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סעיף 28</w:t>
                        </w:r>
                      </w:p>
                    </w:tc>
                  </w:tr>
                  <w:tr w:rsidR="00410CA9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היועץ המשפטי לממשלה או בא-כוחו רשאי לפתוח או להתייצב</w:t>
                        </w:r>
                      </w:p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הליך בבית המשפט, בכל הנוגע להקדשות.*</w:t>
                        </w:r>
                      </w:p>
                    </w:tc>
                    <w:tc>
                      <w:tcPr>
                        <w:tcW w:w="834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היועץ</w:t>
                        </w:r>
                      </w:p>
                      <w:p w:rsidR="00410CA9" w:rsidRPr="003B2EEC" w:rsidRDefault="00410C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למכשלה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10CA9" w:rsidRDefault="00410C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10CA9" w:rsidRDefault="00410CA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B4EBC" w:rsidRDefault="006B4EBC">
      <w:pPr>
        <w:rPr>
          <w:rtl/>
        </w:rPr>
      </w:pPr>
      <w:r>
        <w:rPr>
          <w:rtl/>
        </w:rPr>
        <w:br w:type="page"/>
      </w:r>
    </w:p>
    <w:p w:rsidR="006B4EBC" w:rsidRDefault="00000000">
      <w:pPr>
        <w:rPr>
          <w:rtl/>
        </w:rPr>
      </w:pPr>
      <w:r>
        <w:pict>
          <v:shape id="_x0000_s8076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8076" inset="0,0,0,0">
              <w:txbxContent>
                <w:p w:rsidR="00410CA9" w:rsidRDefault="00410CA9">
                  <w:r>
                    <w:rPr>
                      <w:rtl/>
                    </w:rPr>
                    <w:t>265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077" o:spid="_x0000_s1037" type="#_x0000_t202" style="position:absolute;left:0;text-align:left;margin-left:344.45pt;margin-top:678.2pt;width:186.9pt;height:86.9pt;z-index:13;mso-position-horizontal-relative:page;mso-position-vertical-relative:page" stroked="f">
            <v:textbox style="mso-next-textbox:#_x0000_s8077" inset="0,0,0,0">
              <w:txbxContent>
                <w:p w:rsidR="00410CA9" w:rsidRDefault="00410CA9">
                  <w:pPr>
                    <w:pStyle w:val="OCRStyle4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א"י,ברך א', פרק כ"ב , עמ' 155.</w:t>
                  </w:r>
                </w:p>
                <w:p w:rsidR="00410CA9" w:rsidRDefault="00410CA9">
                  <w:pPr>
                    <w:pStyle w:val="OCRStyle4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דיני מדינת ישראל, נוסח חדש 4, עמ' 120.</w:t>
                  </w:r>
                </w:p>
                <w:p w:rsidR="00410CA9" w:rsidRDefault="00410CA9">
                  <w:pPr>
                    <w:pStyle w:val="OCRStyle4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ס"ח תשכ"א,  עמ'' 100.</w:t>
                  </w:r>
                </w:p>
                <w:p w:rsidR="00410CA9" w:rsidRPr="006B4EBC" w:rsidRDefault="00410CA9">
                  <w:pPr>
                    <w:pStyle w:val="OCRStyle4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8078" o:spid="_x0000_s1038" type="#_x0000_t202" style="position:absolute;left:0;text-align:left;margin-left:82.85pt;margin-top:89.35pt;width:448.45pt;height:587.05pt;z-index:12;mso-position-horizontal-relative:page;mso-position-vertical-relative:page" stroked="f">
            <v:textbox style="mso-next-textbox:#_x0000_s807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5"/>
                    <w:gridCol w:w="5695"/>
                    <w:gridCol w:w="1375"/>
                  </w:tblGrid>
                  <w:tr w:rsidR="00410CA9" w:rsidRPr="006B4EB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5" w:type="pct"/>
                        <w:gridSpan w:val="2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10* בסעיף 29 (1) לפקודה, במקום הרישה יבוא "כלי לפגוע בסמכויותיו האחרות, רשאי,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המשפט, לפי בקשת היועץ-המשפטי -לממשלה או בא-כוחו, או לפי בקשת המפקח או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מעונץ, לחקור בכל ענין הנוגע להקדש, ולתת כל צו שייראה לו כדי שמטרתו ההקדש</w:t>
                        </w:r>
                      </w:p>
                      <w:p w:rsidR="00410CA9" w:rsidRPr="006B4EBC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יושגו בדרך השלמה והיעילה מיותר, לרבות צו -".</w:t>
                        </w:r>
                      </w:p>
                    </w:tc>
                  </w:tr>
                  <w:tr w:rsidR="00410CA9" w:rsidRPr="006B4EB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410CA9" w:rsidRPr="006B4EBC" w:rsidRDefault="00410CA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  <w:tc>
                      <w:tcPr>
                        <w:tcW w:w="4335" w:type="pct"/>
                        <w:gridSpan w:val="2"/>
                      </w:tcPr>
                      <w:p w:rsidR="00410CA9" w:rsidRDefault="00410CA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11* כסעיף 30 לפקודה, במקום פסקאות (ד) ו-(ה) יבוא: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כאשר ביצוע ההקדש למטרה שלמענה הוא נוצר אינו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אפשרי או אינו יעיל או אינו דרוש -- להורות כי נכסי ההקדש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להכנסותיו או כל חלק מהם ישמשו למסרה אחרת, הקרונה</w:t>
                        </w:r>
                      </w:p>
                      <w:p w:rsidR="00410CA9" w:rsidRPr="006B4EBC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 למטרה שלמענה נוצר ההקדש."</w:t>
                        </w:r>
                      </w:p>
                    </w:tc>
                  </w:tr>
                  <w:tr w:rsidR="00410CA9" w:rsidRPr="006B4EB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410CA9" w:rsidRPr="006B4EBC" w:rsidRDefault="00410CA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30</w:t>
                        </w:r>
                      </w:p>
                    </w:tc>
                    <w:tc>
                      <w:tcPr>
                        <w:tcW w:w="4335" w:type="pct"/>
                        <w:gridSpan w:val="2"/>
                      </w:tcPr>
                      <w:p w:rsidR="00410CA9" w:rsidRPr="006B4EBC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 במקום סעיף 40 לפקודת יבוא:</w:t>
                        </w:r>
                      </w:p>
                    </w:tc>
                  </w:tr>
                  <w:tr w:rsidR="00410CA9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שר המשפטים ימנה מפקח לצרכי פקודה זו: המינוי יפורסם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ברשומות,"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410CA9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40א</w:t>
                        </w:r>
                      </w:p>
                    </w:tc>
                    <w:tc>
                      <w:tcPr>
                        <w:tcW w:w="4335" w:type="pct"/>
                        <w:gridSpan w:val="2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40 לפקודה יבואו</w:t>
                        </w:r>
                      </w:p>
                    </w:tc>
                  </w:tr>
                  <w:tr w:rsidR="00410CA9" w:rsidRPr="006B4EBC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92" w:type="pct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(1) כסעיף זה, "חברה לתועלת הציבור" - חברה הרשומה לפי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החברות2, שעיינה תרבות, חינוך, אמנות, מדע, צדקה, ספורט,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טיפוח מסחר או מטרה מועילה אחרת, ונתקיימה בה אחת מאלה!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היא קיבלה משר המשפטים היתר לפי סעיף 23 לפקודת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להירשם כחברה בערכון מוגבל כלי שיצויון הדבר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בשמה: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היא פטורה מתשלום מסים לפי סעיף 9 לפקודת מס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6 , לפי סעיף 39 לחוק מס רכוש וקרן פיצויים,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תשכ"א- 1961 7, או לפי סעיף 61 לחוק מס שבח מקרקעין,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תשכ"ג--1963 8: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הצהיר, לפי בקשה שהגיש היועץ המשפטי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בדרך שנקבעה שהיא חברה לתועלת הציבור,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ענינה תרבות, חינוך, אמנות מדע, צדקה, ספורט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טיפוח מסחר או מטרה מועילה אחרת.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חברות לתועלת הצינור יחול הפיקוח לפי פקודה זו.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המפקח ינהל פנקס הנרות לתועלת הציבור, ומשנתמלאו</w:t>
                        </w:r>
                      </w:p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בחכרה הוראות סעיף קטן (1) חייבת היא, תוך ששה חדשים, לבקש</w:t>
                        </w:r>
                      </w:p>
                    </w:tc>
                    <w:tc>
                      <w:tcPr>
                        <w:tcW w:w="843" w:type="pct"/>
                      </w:tcPr>
                      <w:p w:rsidR="00410CA9" w:rsidRDefault="00410CA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"חברות לתועלת</w:t>
                        </w:r>
                      </w:p>
                      <w:p w:rsidR="00410CA9" w:rsidRPr="006B4EBC" w:rsidRDefault="00410CA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הציבור</w:t>
                        </w:r>
                      </w:p>
                    </w:tc>
                  </w:tr>
                </w:tbl>
                <w:p w:rsidR="00410CA9" w:rsidRDefault="00410CA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410CA9" w:rsidRDefault="00410CA9">
      <w:pPr>
        <w:rPr>
          <w:rtl/>
        </w:rPr>
      </w:pPr>
      <w:r>
        <w:rPr>
          <w:rtl/>
        </w:rPr>
        <w:br w:type="page"/>
      </w:r>
    </w:p>
    <w:p w:rsidR="00410CA9" w:rsidRDefault="00000000">
      <w:pPr>
        <w:rPr>
          <w:rtl/>
        </w:rPr>
      </w:pPr>
      <w:r>
        <w:pict>
          <v:shape id="_x0000_s8079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8079" inset="0,0,0,0">
              <w:txbxContent>
                <w:p w:rsidR="00410CA9" w:rsidRDefault="00410CA9">
                  <w:r>
                    <w:rPr>
                      <w:rtl/>
                    </w:rPr>
                    <w:t>266                                          ספר החוקים 712                     ה' באב התשל"ג 03.08.1973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8080" o:spid="_x0000_s1040" type="#_x0000_t202" style="position:absolute;left:0;text-align:left;margin-left:97.45pt;margin-top:746.05pt;width:148.9pt;height:21.6pt;z-index:19;mso-position-horizontal-relative:page;mso-position-vertical-relative:page" stroked="f">
            <v:textbox style="mso-next-textbox:#_x0000_s8080" inset="0,0,0,0">
              <w:txbxContent>
                <w:p w:rsidR="00410CA9" w:rsidRDefault="00410CA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8081" o:spid="_x0000_s1041" type="#_x0000_t202" style="position:absolute;left:0;text-align:left;margin-left:107.75pt;margin-top:645.3pt;width:104.95pt;height:47.3pt;z-index:18;mso-position-horizontal-relative:page;mso-position-vertical-relative:page" stroked="f">
            <v:textbox style="mso-next-textbox:#_x0000_s8081" inset="0,0,0,0">
              <w:txbxContent>
                <w:p w:rsidR="00410CA9" w:rsidRDefault="00410CA9">
                  <w:pPr>
                    <w:pStyle w:val="OCRStyle5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410CA9" w:rsidRPr="00410CA9" w:rsidRDefault="00410CA9">
                  <w:pPr>
                    <w:pStyle w:val="OCRStyle5"/>
                    <w:ind w:left="36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082" o:spid="_x0000_s1042" type="#_x0000_t202" style="position:absolute;left:0;text-align:left;margin-left:242pt;margin-top:649.65pt;width:86.9pt;height:41.4pt;z-index:17;mso-position-horizontal-relative:page;mso-position-vertical-relative:page" stroked="f">
            <v:textbox style="mso-next-textbox:#_x0000_s8082" inset="0,0,0,0">
              <w:txbxContent>
                <w:p w:rsidR="00410CA9" w:rsidRDefault="00410CA9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410CA9" w:rsidRDefault="00410CA9">
                  <w:pPr>
                    <w:pStyle w:val="OCRStyle5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83" o:spid="_x0000_s1043" type="#_x0000_t202" style="position:absolute;left:0;text-align:left;margin-left:395.25pt;margin-top:674.6pt;width:86.15pt;height:41.4pt;z-index:16;mso-position-horizontal-relative:page;mso-position-vertical-relative:page" stroked="f">
            <v:textbox style="mso-next-textbox:#_x0000_s8083" inset="0,0,0,0">
              <w:txbxContent>
                <w:p w:rsidR="00410CA9" w:rsidRDefault="00410CA9">
                  <w:pPr>
                    <w:pStyle w:val="OCRStyle5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10CA9" w:rsidRDefault="00410CA9">
                  <w:pPr>
                    <w:pStyle w:val="OCRStyle5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084" o:spid="_x0000_s1044" type="#_x0000_t202" style="position:absolute;left:0;text-align:left;margin-left:96.45pt;margin-top:100.4pt;width:468.45pt;height:541.55pt;z-index:15;mso-position-horizontal-relative:page;mso-position-vertical-relative:page" stroked="f">
            <v:textbox style="mso-next-textbox:#_x0000_s808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53"/>
                    <w:gridCol w:w="1271"/>
                    <w:gridCol w:w="1393"/>
                  </w:tblGrid>
                  <w:tr w:rsidR="00410CA9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רישומה בפנקס האמור; יתר הוראות סעיפים 27א עד 27ח יחולו על חברות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לתועלת הציבור בשינויים המחוייבים, ובלבד שחובה המוטלת לפיהן על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נאמן תחול לגבי חברה לתועלת הציבור על כל מנהל שלה.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סעיף זה כאות להוסיף על הוראות פקודת החברות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לגרוע מהן."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8" w:type="pct"/>
                      </w:tcPr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10CA9" w:rsidRPr="00410CA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41 לפקודה יבוא:</w:t>
                        </w:r>
                      </w:p>
                    </w:tc>
                    <w:tc>
                      <w:tcPr>
                        <w:tcW w:w="818" w:type="pct"/>
                      </w:tcPr>
                      <w:p w:rsidR="00410CA9" w:rsidRPr="00410CA9" w:rsidRDefault="00410CA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41</w:t>
                        </w:r>
                      </w:p>
                    </w:tc>
                  </w:tr>
                  <w:tr w:rsidR="00410CA9">
                    <w:trPr>
                      <w:jc w:val="right"/>
                    </w:trPr>
                    <w:tc>
                      <w:tcPr>
                        <w:tcW w:w="3436" w:type="pct"/>
                      </w:tcPr>
                      <w:p w:rsidR="00410CA9" w:rsidRDefault="00410CA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שר המשפטים ממונה על ביצוע פקודה זו והוא רשאי להתקין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בכל ענין הנוגע לביצועה לרבות תקנות בדבר -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דרכי הנהלת חשבונות ההקדש בידי הנאמן או הנאמנים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החזקת כספי ההקדש והשקעתם;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סדרי הדץ לגבי כל דיון לפי פקודה זו;</w:t>
                        </w:r>
                      </w:p>
                      <w:p w:rsidR="00410CA9" w:rsidRP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תשלום אגרות כשל הליכים לפי פקודה זו".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410CA9" w:rsidRPr="00410CA9" w:rsidRDefault="00410CA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ותקנות</w:t>
                        </w:r>
                      </w:p>
                    </w:tc>
                    <w:tc>
                      <w:tcPr>
                        <w:tcW w:w="818" w:type="pct"/>
                      </w:tcPr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10CA9" w:rsidRPr="00410CA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410CA9" w:rsidRDefault="00410CA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נאמן של הקדש שהיה קיים ערב תחילתו של חוק זה, חייב, תוך ששה חדשים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תחילתו, לבקש רישומו של ההקדש.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מנהל של חברה לתועלת הציבור שהיתה קיימת ערב תחילתו של חוק זה, חייב,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ששה חדשים מיום תחילתו, לבקש רישומה של החברה בפנקס החברות לתועלת הציבור.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נרשם נכס של הקדש על שם נאמנים, לפני תחילתו של חוק זה, בפנקס המתנהל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חיקוק, ולא צויין בפנקס שהנכס הקדש, חייב הנאמן, תוך ששה חדשים מיום תחילתו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זה, להודיע לממונה על הפנקס האמור כי הנכס הוא של הקדש, והממונה ירשום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הערה על כך בפנקס ויודיע על כך למפקח.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האמור בסעיפים 27ו ו-27ז לפקודה יחול, בשינויים המחוייבים, לגבי הקדשות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וחברות לתועלת הציבור שהיו קיימים ערב תחילתו של חוק זה.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שאינו מקיים את המוטל עליו לפי סעיפים קטנים (א) עד (ג), דינו - קנס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 לירות; עשה כאמור ככוונת מרמה, דינו - מאסר שנה אחת; אין בסעיף זה כדי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מן האמור בכל דין אחר.</w:t>
                        </w:r>
                      </w:p>
                      <w:p w:rsid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(ו)האמור בסעיף זה לא יחול על ההקדשות לצרכי צדקה או חברות לתועלת</w:t>
                        </w:r>
                      </w:p>
                      <w:p w:rsidR="00410CA9" w:rsidRP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הציבור, שהם פטורים לענינימ אלה לפי סעיף 27ד לפקודה.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410CA9" w:rsidRPr="00410CA9" w:rsidRDefault="00410CA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410CA9" w:rsidRPr="00410CA9">
                    <w:trPr>
                      <w:jc w:val="right"/>
                    </w:trPr>
                    <w:tc>
                      <w:tcPr>
                        <w:tcW w:w="4182" w:type="pct"/>
                        <w:gridSpan w:val="2"/>
                      </w:tcPr>
                      <w:p w:rsidR="00410CA9" w:rsidRPr="00410CA9" w:rsidRDefault="00410CA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 . תחילתו של חוק זה היא ביום זי בטבת תשל"ד (1 בינואר 1974).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410CA9" w:rsidRPr="00410CA9" w:rsidRDefault="00410CA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10CA9" w:rsidRDefault="00410CA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7E5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20FA48-09C1-4506-84FE-215C4A1C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7E58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9C3F5C"/>
    <w:rPr>
      <w:rFonts w:ascii="Arial" w:hAnsi="Arial" w:cs="Arial"/>
      <w:sz w:val="22"/>
      <w:szCs w:val="22"/>
    </w:rPr>
  </w:style>
  <w:style w:type="paragraph" w:customStyle="1" w:styleId="OCRStyle3">
    <w:name w:val="OCR Style #3"/>
    <w:basedOn w:val="a"/>
    <w:rsid w:val="003B2EE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B4EBC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10CA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2008-04-07T11:56:00Z</dcterms:created>
  <dcterms:modified xsi:type="dcterms:W3CDTF">2008-04-07T11:56:00Z</dcterms:modified>
</cp:coreProperties>
</file>