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737B" w:rsidRDefault="0094737B">
      <w:pPr>
        <w:rPr>
          <w:rtl/>
        </w:rPr>
      </w:pPr>
    </w:p>
    <w:p w:rsidR="0094737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33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336" inset="0,0,0,0">
              <w:txbxContent>
                <w:p w:rsidR="00AA2486" w:rsidRDefault="00AA2486">
                  <w:r>
                    <w:rPr>
                      <w:rtl/>
                    </w:rPr>
                    <w:t>55                                           ספר החוקים 444                   י"ח בשבט התשכ"ה 21.01.1965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8337" o:spid="_x0000_s1026" type="#_x0000_t202" style="position:absolute;left:0;text-align:left;margin-left:168.8pt;margin-top:672.05pt;width:385.9pt;height:77.8pt;z-index:3;mso-position-horizontal-relative:page;mso-position-vertical-relative:page" stroked="f">
            <v:textbox style="mso-next-textbox:#_x0000_s8337" inset="0,0,0,0">
              <w:txbxContent>
                <w:p w:rsidR="00AA2486" w:rsidRDefault="00AA2486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* נתקנל בכנסת ביום ח' בשבט תשכ"ה (11 בינואר 1965); הגעת החוק ודברי הסבר פורסמו בה"ח 613, תשכ"ד,</w:t>
                  </w:r>
                </w:p>
                <w:p w:rsidR="00AA2486" w:rsidRDefault="00AA2486">
                  <w:pPr>
                    <w:pStyle w:val="OCRStyle1"/>
                    <w:ind w:left="598"/>
                    <w:rPr>
                      <w:rtl/>
                    </w:rPr>
                  </w:pPr>
                  <w:r>
                    <w:rPr>
                      <w:rtl/>
                    </w:rPr>
                    <w:t>עמ' 216.</w:t>
                  </w:r>
                </w:p>
                <w:p w:rsidR="00AA2486" w:rsidRPr="0094737B" w:rsidRDefault="00AA2486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1ס"ח 207, תשט"ז, עמ' 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8338" o:spid="_x0000_s1027" type="#_x0000_t202" style="position:absolute;left:0;text-align:left;margin-left:85.25pt;margin-top:111.55pt;width:477pt;height:552pt;z-index:2;mso-position-horizontal-relative:page;mso-position-vertical-relative:page" stroked="f">
            <v:textbox style="mso-next-textbox:#_x0000_s833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9"/>
                    <w:gridCol w:w="5643"/>
                    <w:gridCol w:w="1631"/>
                  </w:tblGrid>
                  <w:tr w:rsidR="00AA2486" w:rsidRPr="0094737B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AA2486" w:rsidRPr="0094737B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93" w:type="pct"/>
                        <w:gridSpan w:val="2"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3 לחוק הזרעים, תשט"ז-1956 1 (להלן - החוק העיקרי) -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הערת השוליים יבוא ''תקנות לשיפור טיבם של זרעים";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הסעיף יסומן "3(א)" והרישה תנוסח כך: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"3(א). שר החקלאות רשאי להתקין התקנות הבאות";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פסקה (3) לסעיף קטן (א) יבוא: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להסדיר, להגביל או לאסור גידולם ומכירתם של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זרעים";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(א) יבוא: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יתקין שר החקלאות תקנות כאמור בסעיף קטן (א), אלא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משוכנע כי הדבר דרוש להבטחת טיבם או לשיפור טיבם של</w:t>
                        </w:r>
                      </w:p>
                      <w:p w:rsidR="00AA2486" w:rsidRPr="0094737B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זרעים המיועדים למכירה."</w:t>
                        </w:r>
                      </w:p>
                    </w:tc>
                  </w:tr>
                  <w:tr w:rsidR="00AA2486" w:rsidRPr="0094737B">
                    <w:trPr>
                      <w:jc w:val="right"/>
                    </w:trPr>
                    <w:tc>
                      <w:tcPr>
                        <w:tcW w:w="807" w:type="pct"/>
                        <w:vMerge w:val="restart"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A2486" w:rsidRPr="0094737B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4א-4ח</w:t>
                        </w:r>
                      </w:p>
                    </w:tc>
                    <w:tc>
                      <w:tcPr>
                        <w:tcW w:w="4193" w:type="pct"/>
                        <w:gridSpan w:val="2"/>
                      </w:tcPr>
                      <w:p w:rsidR="00AA2486" w:rsidRPr="0094737B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4 לחוק העיקרי יבוא:</w:t>
                        </w:r>
                      </w:p>
                    </w:tc>
                  </w:tr>
                  <w:tr w:rsidR="00AA2486" w:rsidRPr="0094737B">
                    <w:trPr>
                      <w:jc w:val="right"/>
                    </w:trPr>
                    <w:tc>
                      <w:tcPr>
                        <w:tcW w:w="807" w:type="pct"/>
                        <w:vMerge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3" w:type="pct"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לא ימכור אדם זרעים, אלא על פי רשיון מאת שר החקלאות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 שהשר הסמיכו לכך בהודעה ברשומות, ובהתאם לתנאי הרשיון;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הרשיון יכול שיוגבל למכירה פלונית או לתקופה שתיקבע בו.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 רשאי לקבוע בתקנות תנאי הכשירות לקבלת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וסדרי מתן הרשיון, ותנאים ביחס לחצרים שבהם יעסקו במכירת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זרעים; לא יתקין שר החקלאות תקנות כאמור אלא אם היה משוכנע, כי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דרוש להבטחת טיפול נאות בזרעים ושמירה עליהם או על טיבם.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AA2486" w:rsidRPr="0094737B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"מכירת זרעים</w:t>
                        </w:r>
                      </w:p>
                    </w:tc>
                  </w:tr>
                  <w:tr w:rsidR="00AA2486" w:rsidRPr="0094737B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3" w:type="pct"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4כ. (א) שר החקלאות רשאי לבטל רשיון שניתן על פי סעיף 4א,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נוכח שהתנאים לקבלת הרשיון אינם קיימים יותר, או שבעל הרשיון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איננו ממלא אחריהם.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הרואה עצמו נפגע על ידי ביטול רשיון כאמור בסעיף קטן (א),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לערור עליו לפני ועדת ערר האמורה בסעיף 4ד תוך ארבעה עשר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מהיום שהודע לו דבר הביטול.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 רשאית לאשר את החלטת שר החקלאות, לשנותה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לבטלה.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בכפוף לאמור כסעיף 4ג תקפו של הביטול מתום התקופה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לערר, או - אם הוגש ערר ונדחה - מיום החלטת ועדת הערר.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AA2486" w:rsidRPr="0094737B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AA2486" w:rsidRPr="0094737B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3" w:type="pct"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4ג. (א) החליט שר החקלאות לבטל רשיון, רשאי השר או מי שהוסמך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על ידיו, לפנות ליושב-ראש ועדת הערר בבקשה להפסיק את תקפו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הרשיון עד לתום התקופה שנקבעה לערר, או - אם הוגש ערר -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להחלטת הועדה בערר.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היושב ראש רשאי להפסיק את תקפו של הרשיון, בתנאים</w:t>
                        </w:r>
                      </w:p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שייראו לו או ללא תנאים, או לדחות את הבקשה להפסקתו.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זמנית</w:t>
                        </w:r>
                      </w:p>
                      <w:p w:rsidR="00AA2486" w:rsidRPr="0094737B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הרשיון</w:t>
                        </w:r>
                      </w:p>
                    </w:tc>
                  </w:tr>
                  <w:tr w:rsidR="00AA2486" w:rsidRPr="0094737B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3" w:type="pct"/>
                      </w:tcPr>
                      <w:p w:rsidR="00AA2486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4ד. (א) שר החקלאות יקים ועדת ערר של שלושה לענין חוק זה?</w:t>
                        </w:r>
                      </w:p>
                    </w:tc>
                    <w:tc>
                      <w:tcPr>
                        <w:tcW w:w="940" w:type="pct"/>
                      </w:tcPr>
                      <w:p w:rsidR="00AA2486" w:rsidRPr="0094737B" w:rsidRDefault="00AA248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ועדת ערר</w:t>
                        </w:r>
                      </w:p>
                    </w:tc>
                  </w:tr>
                </w:tbl>
                <w:p w:rsidR="00AA2486" w:rsidRDefault="00AA248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339" o:spid="_x0000_s1028" type="#_x0000_t202" style="position:absolute;left:0;text-align:left;margin-left:241.45pt;margin-top:79.05pt;width:207.3pt;height:22.95pt;z-index:1;mso-position-horizontal-relative:page;mso-position-vertical-relative:page" stroked="f">
            <v:textbox style="mso-next-textbox:#_x0000_s8339" inset="0,0,0,0">
              <w:txbxContent>
                <w:p w:rsidR="00AA2486" w:rsidRPr="0094737B" w:rsidRDefault="00AA2486">
                  <w:pPr>
                    <w:pStyle w:val="OCRStyle1"/>
                    <w:ind w:left="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הזרעים (תיקון), תשכ"ה-1965 *</w:t>
                  </w:r>
                </w:p>
              </w:txbxContent>
            </v:textbox>
            <w10:wrap anchorx="page" anchory="page"/>
          </v:shape>
        </w:pict>
      </w:r>
    </w:p>
    <w:p w:rsidR="00AA2486" w:rsidRDefault="00AA2486">
      <w:pPr>
        <w:rPr>
          <w:rtl/>
        </w:rPr>
      </w:pPr>
      <w:r>
        <w:rPr>
          <w:rtl/>
        </w:rPr>
        <w:br w:type="page"/>
      </w:r>
    </w:p>
    <w:p w:rsidR="00AA2486" w:rsidRDefault="00000000">
      <w:pPr>
        <w:rPr>
          <w:rtl/>
        </w:rPr>
      </w:pPr>
      <w:r>
        <w:pict>
          <v:shape id="_x0000_s834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340" inset="0,0,0,0">
              <w:txbxContent>
                <w:p w:rsidR="00AA2486" w:rsidRDefault="00AA2486">
                  <w:r>
                    <w:rPr>
                      <w:rtl/>
                    </w:rPr>
                    <w:t>56                                           ספר החוקים 444                   י"ח בשבט התשכ"ה 21.01.1965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8341" o:spid="_x0000_s1030" type="#_x0000_t202" style="position:absolute;left:0;text-align:left;margin-left:77pt;margin-top:410.55pt;width:385.7pt;height:339pt;z-index:9;mso-position-horizontal-relative:page;mso-position-vertical-relative:page" stroked="f">
            <v:textbox style="mso-next-textbox:#_x0000_s8341" inset="0,0,0,0">
              <w:txbxContent>
                <w:p w:rsidR="00AA2486" w:rsidRDefault="00AA2486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א', פרק כ"א, עמ' 152.</w:t>
                  </w:r>
                </w:p>
                <w:p w:rsidR="00AA2486" w:rsidRPr="00AA2486" w:rsidRDefault="00AA2486">
                  <w:pPr>
                    <w:pStyle w:val="OCRStyle2"/>
                    <w:ind w:left="40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342" o:spid="_x0000_s1031" type="#_x0000_t202" style="position:absolute;left:0;text-align:left;margin-left:347.45pt;margin-top:341.45pt;width:132.45pt;height:35.85pt;z-index:8;mso-position-horizontal-relative:page;mso-position-vertical-relative:page" stroked="f">
            <v:textbox style="mso-next-textbox:#_x0000_s8342" inset="0,0,0,0">
              <w:txbxContent>
                <w:p w:rsidR="00AA2486" w:rsidRDefault="00AA2486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A2486" w:rsidRDefault="00AA2486">
                  <w:pPr>
                    <w:pStyle w:val="OCRStyle2"/>
                    <w:ind w:left="6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343" o:spid="_x0000_s1032" type="#_x0000_t202" style="position:absolute;left:0;text-align:left;margin-left:106.1pt;margin-top:308.2pt;width:103.15pt;height:32.45pt;z-index:7;mso-position-horizontal-relative:page;mso-position-vertical-relative:page" stroked="f">
            <v:textbox style="mso-next-textbox:#_x0000_s8343" inset="0,0,0,0">
              <w:txbxContent>
                <w:p w:rsidR="00AA2486" w:rsidRDefault="00AA2486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AA2486" w:rsidRDefault="00AA2486">
                  <w:pPr>
                    <w:pStyle w:val="OCRStyle2"/>
                    <w:ind w:left="436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8344" o:spid="_x0000_s1033" type="#_x0000_t202" style="position:absolute;left:0;text-align:left;margin-left:234.8pt;margin-top:305.6pt;width:81.95pt;height:35.85pt;z-index:6;mso-position-horizontal-relative:page;mso-position-vertical-relative:page" stroked="f">
            <v:textbox style="mso-next-textbox:#_x0000_s8344" inset="0,0,0,0">
              <w:txbxContent>
                <w:p w:rsidR="00AA2486" w:rsidRDefault="00AA2486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AA2486" w:rsidRDefault="00AA2486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345" o:spid="_x0000_s1034" type="#_x0000_t202" style="position:absolute;left:0;text-align:left;margin-left:87.3pt;margin-top:74.35pt;width:464.3pt;height:222.75pt;z-index:5;mso-position-horizontal-relative:page;mso-position-vertical-relative:page" stroked="f">
            <v:textbox style="mso-next-textbox:#_x0000_s83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21"/>
                    <w:gridCol w:w="1300"/>
                    <w:gridCol w:w="1221"/>
                  </w:tblGrid>
                  <w:tr w:rsidR="00AA2486">
                    <w:trPr>
                      <w:jc w:val="right"/>
                    </w:trPr>
                    <w:tc>
                      <w:tcPr>
                        <w:tcW w:w="3507" w:type="pct"/>
                      </w:tcPr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כיושב ראש ועדת ערר יתמנה שופט שיקבע שר המשפטים, ולפחות אחד</w:t>
                        </w:r>
                      </w:p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מחבריה הנותרים לא יהיה עובד המדינה; היה בין חבריה עובד המדינה</w:t>
                        </w:r>
                      </w:p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מן הנמנים עם עובדי משרד החקלאות, אלא אם הוא מועסק</w:t>
                        </w:r>
                      </w:p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במוסד מחקר הכפוף למשרד החקלאות ועיקר עיסוקו נסיונות או מחקר.</w:t>
                        </w:r>
                      </w:p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 ועדת הערר ומענה תפורסם ברשומות.</w:t>
                        </w:r>
                      </w:p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4ה. (א) שר המשפטים רשאי להתקין תקנות הקובעות את סדרי הדין</w:t>
                        </w:r>
                      </w:p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ועדת ערר; סדרי הדין החלים בבית משפט שלום בדיון אזרחי על פי</w:t>
                        </w:r>
                      </w:p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בדרך המרצה יחולו ככל שלא נקבעה הוראה אחרת בחוק זה או</w:t>
                        </w:r>
                      </w:p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כאמור.</w:t>
                        </w:r>
                      </w:p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לוועדת הערר יהיו כל הסמכויות הנתונות לועדת חקירה</w:t>
                        </w:r>
                      </w:p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 לפקודת ועדות חקירה 2."</w:t>
                        </w:r>
                      </w:p>
                    </w:tc>
                    <w:tc>
                      <w:tcPr>
                        <w:tcW w:w="770" w:type="pct"/>
                      </w:tcPr>
                      <w:p w:rsidR="00AA2486" w:rsidRPr="00AA2486" w:rsidRDefault="00AA24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הדין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A2486" w:rsidRPr="00AA2486">
                    <w:trPr>
                      <w:jc w:val="right"/>
                    </w:trPr>
                    <w:tc>
                      <w:tcPr>
                        <w:tcW w:w="4277" w:type="pct"/>
                        <w:gridSpan w:val="2"/>
                      </w:tcPr>
                      <w:p w:rsidR="00AA2486" w:rsidRDefault="00AA24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 לחוק העיקרי, אחרי "שר החקלאות" יבוא "או מי שהשר הסמיכו לכך</w:t>
                        </w:r>
                      </w:p>
                      <w:p w:rsidR="00AA2486" w:rsidRPr="00AA2486" w:rsidRDefault="00AA248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 ברשומות".</w:t>
                        </w:r>
                      </w:p>
                    </w:tc>
                    <w:tc>
                      <w:tcPr>
                        <w:tcW w:w="723" w:type="pct"/>
                      </w:tcPr>
                      <w:p w:rsidR="00AA2486" w:rsidRPr="00AA2486" w:rsidRDefault="00AA248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AA2486" w:rsidRDefault="00AA248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4737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17E264-4052-4516-99EA-BDA41F35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737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A248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2008-04-09T14:21:00Z</dcterms:created>
  <dcterms:modified xsi:type="dcterms:W3CDTF">2008-04-09T14:21:00Z</dcterms:modified>
</cp:coreProperties>
</file>