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6B2D" w:rsidRDefault="00036B2D">
      <w:pPr>
        <w:rPr>
          <w:rtl/>
        </w:rPr>
      </w:pPr>
    </w:p>
    <w:p w:rsidR="00036B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92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922" inset="0,0,0,0">
              <w:txbxContent>
                <w:p w:rsidR="00036B2D" w:rsidRDefault="00036B2D">
                  <w:r>
                    <w:rPr>
                      <w:rtl/>
                    </w:rPr>
                    <w:t>100                                          ספר החוקים 504                  כ"ו בתמוז התשכ"ז 03.08.1967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8923" o:spid="_x0000_s1026" type="#_x0000_t202" style="position:absolute;left:0;text-align:left;margin-left:88.05pt;margin-top:690.35pt;width:177.4pt;height:42.95pt;z-index:7;mso-wrap-style:none;mso-position-horizontal-relative:page;mso-position-vertical-relative:page" stroked="f">
            <v:textbox style="mso-next-textbox:#_x0000_s8923" inset="0,0,0,0">
              <w:txbxContent>
                <w:p w:rsidR="00036B2D" w:rsidRDefault="00036B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924" o:spid="_x0000_s1027" type="#_x0000_t202" style="position:absolute;left:0;text-align:left;margin-left:88.85pt;margin-top:591.35pt;width:385.7pt;height:54.05pt;z-index:6;mso-wrap-style:none;mso-position-horizontal-relative:page;mso-position-vertical-relative:page" stroked="f">
            <v:textbox style="mso-next-textbox:#_x0000_s8924" inset="0,0,0,0">
              <w:txbxContent>
                <w:p w:rsidR="00036B2D" w:rsidRDefault="00036B2D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תשכ"ז (25 ביולי 1967); הצעת החוק ודברי הסבר פורסמו בה''ח 723, תשכ"ז,</w:t>
                  </w:r>
                </w:p>
                <w:p w:rsidR="00036B2D" w:rsidRDefault="00036B2D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108.</w:t>
                  </w:r>
                </w:p>
                <w:p w:rsidR="00036B2D" w:rsidRPr="00036B2D" w:rsidRDefault="00036B2D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1 ס"ח תשי"א, עמי 234; תשי''ז, עמ' 134; תשכ"ה, עמ' 214.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25" o:spid="_x0000_s1028" type="#_x0000_t202" style="position:absolute;left:0;text-align:left;margin-left:119.9pt;margin-top:232.15pt;width:79.2pt;height:44.95pt;z-index:5;mso-wrap-style:none;mso-position-horizontal-relative:page;mso-position-vertical-relative:page" stroked="f">
            <v:textbox style="mso-next-textbox:#_x0000_s8925" inset="0,0,0,0">
              <w:txbxContent>
                <w:p w:rsidR="00036B2D" w:rsidRDefault="00036B2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036B2D" w:rsidRDefault="00036B2D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26" o:spid="_x0000_s1029" type="#_x0000_t202" style="position:absolute;left:0;text-align:left;margin-left:231.8pt;margin-top:237.5pt;width:108.5pt;height:33.45pt;z-index:4;mso-wrap-style:none;mso-position-horizontal-relative:page;mso-position-vertical-relative:page" stroked="f">
            <v:textbox style="mso-next-textbox:#_x0000_s8926" inset="0,0,0,0">
              <w:txbxContent>
                <w:p w:rsidR="00036B2D" w:rsidRDefault="00036B2D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36B2D" w:rsidRDefault="00036B2D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27" o:spid="_x0000_s1030" type="#_x0000_t202" style="position:absolute;left:0;text-align:left;margin-left:359.3pt;margin-top:266.6pt;width:122.95pt;height:41.4pt;z-index:3;mso-wrap-style:none;mso-position-horizontal-relative:page;mso-position-vertical-relative:page" stroked="f">
            <v:textbox style="mso-next-textbox:#_x0000_s8927" inset="0,0,0,0">
              <w:txbxContent>
                <w:p w:rsidR="00036B2D" w:rsidRDefault="00036B2D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036B2D" w:rsidRDefault="00036B2D">
                  <w:pPr>
                    <w:pStyle w:val="OCRStyle1"/>
                    <w:ind w:left="69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28" o:spid="_x0000_s1031" type="#_x0000_t202" style="position:absolute;left:0;text-align:left;margin-left:98.35pt;margin-top:95.35pt;width:449.45pt;height:131.65pt;z-index:2;mso-wrap-style:none;mso-position-horizontal-relative:page;mso-position-vertical-relative:page" stroked="f">
            <v:textbox style="mso-next-textbox:#_x0000_s8928" inset="0,0,0,0">
              <w:txbxContent>
                <w:tbl>
                  <w:tblPr>
                    <w:tblW w:w="47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7"/>
                    <w:gridCol w:w="1075"/>
                  </w:tblGrid>
                  <w:tr w:rsidR="00036B2D" w:rsidRPr="00036B2D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036B2D" w:rsidRDefault="00036B2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3 לחוק חופשה שבתית, תשי"א-1951  1(להלן - החוק העיקרי), בסעיף קטן (א) -</w:t>
                        </w:r>
                      </w:p>
                      <w:p w:rsid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(5), הסיפה אחרי הנקודה-פסיק תימחק;</w:t>
                        </w:r>
                      </w:p>
                      <w:p w:rsid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הקטן יבוא:</w:t>
                        </w:r>
                      </w:p>
                      <w:p w:rsid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"בימי החופשה לא ייכלל אלא מנוחה שבועית אחת לכל שבעה ימי</w:t>
                        </w:r>
                      </w:p>
                      <w:p w:rsidR="00036B2D" w:rsidRP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חופשה."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36B2D" w:rsidRP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036B2D" w:rsidRPr="00036B2D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בסעיף קטן (ג), אחרי "שעות העבודה הרגילות" יבוא "זולת</w:t>
                        </w:r>
                      </w:p>
                      <w:p w:rsidR="00036B2D" w:rsidRP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בקבע אחרת בהסכם קיבוצי שאושר לענין זה על ידי שר העבודה".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36B2D" w:rsidRPr="00036B2D" w:rsidRDefault="00036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036B2D" w:rsidRDefault="00036B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929" o:spid="_x0000_s1032" type="#_x0000_t202" style="position:absolute;left:0;text-align:left;margin-left:155.95pt;margin-top:64.45pt;width:269.5pt;height:26.55pt;z-index:1;mso-wrap-style:none;mso-position-horizontal-relative:page;mso-position-vertical-relative:page" stroked="f">
            <v:textbox style="mso-next-textbox:#_x0000_s8929" inset="0,0,0,0">
              <w:txbxContent>
                <w:p w:rsidR="00036B2D" w:rsidRPr="00036B2D" w:rsidRDefault="00036B2D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חופשה שנתית (תיקון מס' 3),תשכ"ז-1967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36B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AA1273-C143-4966-9AED-E9D51BE8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6B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