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1BE5" w:rsidRDefault="00BB1BE5">
      <w:pPr>
        <w:rPr>
          <w:rtl/>
        </w:rPr>
      </w:pPr>
    </w:p>
    <w:p w:rsidR="00BB1B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04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041" inset="0,0,0,0">
              <w:txbxContent>
                <w:p w:rsidR="00FF3B09" w:rsidRDefault="00FF3B09">
                  <w:r>
                    <w:rPr>
                      <w:rtl/>
                    </w:rPr>
                    <w:t>86                                           ספר החוקים 845                    ז' באדר התשל"ז 25.02.1977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042" o:spid="_x0000_s1026" type="#_x0000_t202" style="position:absolute;left:0;text-align:left;margin-left:82.85pt;margin-top:646.5pt;width:393.45pt;height:94.85pt;z-index:5;mso-position-horizontal-relative:page;mso-position-vertical-relative:page" stroked="f">
            <v:textbox style="mso-next-textbox:#_x0000_s9042" inset="0,0,0,0">
              <w:txbxContent>
                <w:p w:rsidR="00FF3B09" w:rsidRDefault="00FF3B0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בבגסת ביום כ"ח בשבט תשל"ז (16 בפברואר 1977); הצעת החוק ודברי הסבר פורסמו בה"ח 1277,</w:t>
                  </w:r>
                </w:p>
                <w:p w:rsidR="00FF3B09" w:rsidRDefault="00FF3B09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תשל"ז, עמ' 94.</w:t>
                  </w:r>
                </w:p>
                <w:p w:rsidR="00FF3B09" w:rsidRDefault="00FF3B09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תשיט, עמ' 13; תשי''א, עמ' 58; תשי"ד, עמ' 224; תשכ"ט, עמ' 76; תש''ל, עמ' 121; תשל"ה, עמ' 59,</w:t>
                  </w:r>
                </w:p>
                <w:p w:rsidR="00FF3B09" w:rsidRDefault="00FF3B09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.158</w:t>
                  </w:r>
                </w:p>
                <w:p w:rsidR="00FF3B09" w:rsidRDefault="00FF3B09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תשי"ט, עמ' 286.</w:t>
                  </w:r>
                </w:p>
                <w:p w:rsidR="00FF3B09" w:rsidRPr="00BB1BE5" w:rsidRDefault="00FF3B09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תשכ"ז, עמ' .86</w:t>
                  </w:r>
                </w:p>
              </w:txbxContent>
            </v:textbox>
            <w10:wrap anchorx="page" anchory="page"/>
          </v:shape>
        </w:pict>
      </w:r>
      <w:r>
        <w:pict>
          <v:shape id="_x0000_s9043" o:spid="_x0000_s1027" type="#_x0000_t202" style="position:absolute;left:0;text-align:left;margin-left:97.1pt;margin-top:606.35pt;width:386.7pt;height:37.05pt;z-index:4;mso-position-horizontal-relative:page;mso-position-vertical-relative:page" stroked="f">
            <v:textbox style="mso-next-textbox:#_x0000_s9043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8"/>
                    <w:gridCol w:w="1264"/>
                  </w:tblGrid>
                  <w:tr w:rsidR="00FF3B09" w:rsidRPr="00BB1BE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FF3B09" w:rsidRDefault="00FF3B0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19. (א) בסעיף זה, "חייל משוחרר משירות סדיר" - למעט -</w:t>
                        </w:r>
                      </w:p>
                      <w:p w:rsidR="00FF3B09" w:rsidRPr="00BB1BE5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שחל עליו הפרק השני מכוח האמור בסעיף 5א;</w:t>
                        </w:r>
                      </w:p>
                    </w:tc>
                    <w:tc>
                      <w:tcPr>
                        <w:tcW w:w="899" w:type="pct"/>
                      </w:tcPr>
                      <w:p w:rsidR="00FF3B09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 משוחרר</w:t>
                        </w:r>
                      </w:p>
                      <w:p w:rsidR="00FF3B09" w:rsidRPr="00BB1BE5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משירות סדיר</w:t>
                        </w:r>
                      </w:p>
                    </w:tc>
                  </w:tr>
                </w:tbl>
                <w:p w:rsidR="00FF3B09" w:rsidRDefault="00FF3B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44" o:spid="_x0000_s1028" type="#_x0000_t202" style="position:absolute;left:0;text-align:left;margin-left:186pt;margin-top:585.35pt;width:220.55pt;height:19.4pt;z-index:3;mso-position-horizontal-relative:page;mso-position-vertical-relative:page" stroked="f">
            <v:textbox style="mso-next-textbox:#_x0000_s9044" inset="0,0,0,0">
              <w:txbxContent>
                <w:p w:rsidR="00FF3B09" w:rsidRPr="00BB1BE5" w:rsidRDefault="00FF3B09">
                  <w:pPr>
                    <w:pStyle w:val="OCRStyle1"/>
                    <w:ind w:left="331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"פרק רביעי: זכות קדימה בשליחה לעבודה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45" o:spid="_x0000_s1029" type="#_x0000_t202" style="position:absolute;left:0;text-align:left;margin-left:89.55pt;margin-top:128.15pt;width:467.3pt;height:455.6pt;z-index:2;mso-position-horizontal-relative:page;mso-position-vertical-relative:page" stroked="f">
            <v:textbox style="mso-next-textbox:#_x0000_s904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8"/>
                    <w:gridCol w:w="1207"/>
                    <w:gridCol w:w="1242"/>
                  </w:tblGrid>
                  <w:tr w:rsidR="00FF3B09" w:rsidRPr="00BB1BE5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FF3B09" w:rsidRDefault="00FF3B0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החיילים המשוחררים (החזרה לעבודה), תש"ט-1949  1(להלן -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פסקה (1) יבוא: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שירות סדיר לפי הפרק השלישי לחוק שירות בטחון,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משולב]2, אף אם שירות זה הוארך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26 לחוק האמור (להלן - שירות סדיר);"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לענין חוק זה, דין שירות בצבא-הגנה לישראל על פי הת-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חייבות לשירות קבע - כדין שירות סדיר, אם הוא בא בתכוף לאחר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 סדיר, ותקופתו, כין על פי התחייבות אחת ובין על פי</w:t>
                        </w:r>
                      </w:p>
                      <w:p w:rsidR="00FF3B09" w:rsidRPr="00BB1BE5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התחייבויות רצופות, איבה עולה על שנתיים,"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F3B09" w:rsidRPr="00BB1BE5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F3B09" w:rsidRPr="00BB1BE5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FF3B09" w:rsidRPr="00BB1BE5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(א) במקום סעיף 5 לחוק העיקרי יבואן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F3B09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  <w:p w:rsidR="00FF3B09" w:rsidRPr="00BB1BE5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 5א</w:t>
                        </w:r>
                      </w:p>
                    </w:tc>
                  </w:tr>
                  <w:tr w:rsidR="00FF3B09">
                    <w:trPr>
                      <w:jc w:val="right"/>
                    </w:trPr>
                    <w:tc>
                      <w:tcPr>
                        <w:tcW w:w="3559" w:type="pct"/>
                      </w:tcPr>
                      <w:p w:rsidR="00FF3B09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לשכת שירות התעסוקה - לגבי מפעל - היא לשכת שירות התע-</w:t>
                        </w:r>
                      </w:p>
                      <w:p w:rsidR="00FF3B09" w:rsidRPr="00BB1BE5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סוקה, שהמפעל נמצא בתחום שיפוטה.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"לשנת שירות</w:t>
                        </w:r>
                      </w:p>
                      <w:p w:rsidR="00FF3B09" w:rsidRPr="00BB1BE5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התעסוקה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F3B09">
                    <w:trPr>
                      <w:jc w:val="right"/>
                    </w:trPr>
                    <w:tc>
                      <w:tcPr>
                        <w:tcW w:w="3559" w:type="pct"/>
                      </w:tcPr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בכפוף להוראות סעיף 19 לא יחול הפרק השני על חייל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 משירות סדיר אלא אם נתקיימה בו אחת מאלה;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ביום התגייסותו מלאו לו 20 שנה*,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התגייסותו טרם מלאו לו 20 שנה, אולם התייצ-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בותו לשירות בטחון או להמשך שירות באה אחרי דחיה לפי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 לחוק שירות בטחון, תשי"ט-1959 ננוסח משולב],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שבו כבר מלאו לו 20 שנה.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מגוייס-חוץ לענין סעיף</w:t>
                        </w:r>
                      </w:p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לחוק שירות עבודה בשעת חירום, תשכ"ז-31967."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FF3B09" w:rsidRPr="00BB1BE5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F3B09" w:rsidRDefault="00FF3B0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F3B09" w:rsidRPr="00BB1BE5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FF3B09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8 (ב) לחוק העיקרי, במקום "ועדת ערעור" יבוא "בית דין אזורי כאמור</w:t>
                        </w:r>
                      </w:p>
                      <w:p w:rsidR="00FF3B09" w:rsidRPr="00BB1BE5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F3B09" w:rsidRPr="00BB1BE5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FF3B09" w:rsidRPr="00BB1BE5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FF3B09" w:rsidRPr="00BB1BE5" w:rsidRDefault="00FF3B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.במקום הפרק הרביעי לחוק העיקרי יבוא: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F3B09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הפרק</w:t>
                        </w:r>
                      </w:p>
                      <w:p w:rsidR="00FF3B09" w:rsidRPr="00BB1BE5" w:rsidRDefault="00FF3B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הרביעי</w:t>
                        </w:r>
                      </w:p>
                    </w:tc>
                  </w:tr>
                </w:tbl>
                <w:p w:rsidR="00FF3B09" w:rsidRDefault="00FF3B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46" o:spid="_x0000_s1030" type="#_x0000_t202" style="position:absolute;left:0;text-align:left;margin-left:123.8pt;margin-top:80.25pt;width:344.1pt;height:39.4pt;z-index:1;mso-position-horizontal-relative:page;mso-position-vertical-relative:page" stroked="f">
            <v:textbox style="mso-next-textbox:#_x0000_s9046" inset="0,0,0,0">
              <w:txbxContent>
                <w:p w:rsidR="00FF3B09" w:rsidRDefault="00FF3B09">
                  <w:pPr>
                    <w:pStyle w:val="OCRStyle1"/>
                    <w:ind w:left="29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החיילים המשוחררים (החזרה לעבודה) (תיקון מס' 7),</w:t>
                  </w:r>
                </w:p>
                <w:p w:rsidR="00FF3B09" w:rsidRPr="00BB1BE5" w:rsidRDefault="00FF3B09">
                  <w:pPr>
                    <w:pStyle w:val="OCRStyle1"/>
                    <w:ind w:left="25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תשל"ז-1977 *</w:t>
                  </w:r>
                </w:p>
              </w:txbxContent>
            </v:textbox>
            <w10:wrap anchorx="page" anchory="page"/>
          </v:shape>
        </w:pict>
      </w:r>
    </w:p>
    <w:p w:rsidR="00FF3B09" w:rsidRDefault="00FF3B09">
      <w:pPr>
        <w:rPr>
          <w:rtl/>
        </w:rPr>
      </w:pPr>
      <w:r>
        <w:rPr>
          <w:rtl/>
        </w:rPr>
        <w:br w:type="page"/>
      </w:r>
    </w:p>
    <w:p w:rsidR="00FF3B09" w:rsidRDefault="00000000">
      <w:pPr>
        <w:rPr>
          <w:rtl/>
        </w:rPr>
      </w:pPr>
      <w:r>
        <w:pict>
          <v:shape id="_x0000_s9047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9047" inset="0,0,0,0">
              <w:txbxContent>
                <w:p w:rsidR="00FF3B09" w:rsidRDefault="00FF3B09">
                  <w:r>
                    <w:rPr>
                      <w:rtl/>
                    </w:rPr>
                    <w:t>87                                           ספר החוקים 845                    ז' באדר התשל"ז 25.02.1977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048" o:spid="_x0000_s1032" type="#_x0000_t202" style="position:absolute;left:0;text-align:left;margin-left:366.5pt;margin-top:651.25pt;width:184.75pt;height:102.55pt;z-index:11;mso-position-horizontal-relative:page;mso-position-vertical-relative:page" stroked="f">
            <v:textbox style="mso-next-textbox:#_x0000_s9048" inset="0,0,0,0">
              <w:txbxContent>
                <w:p w:rsidR="00FF3B09" w:rsidRDefault="00FF3B09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4 ס"חח תשכ"ג, עמ' 136</w:t>
                  </w:r>
                </w:p>
                <w:p w:rsidR="00FF3B09" w:rsidRDefault="00FF3B09">
                  <w:pPr>
                    <w:pStyle w:val="OCRStyle2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תשי"ט, עמ' .32</w:t>
                  </w:r>
                </w:p>
                <w:p w:rsidR="00FF3B09" w:rsidRPr="00FF3B09" w:rsidRDefault="00FF3B09">
                  <w:pPr>
                    <w:pStyle w:val="OCRStyle2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תשי"ט, עמ' .306</w:t>
                  </w:r>
                </w:p>
              </w:txbxContent>
            </v:textbox>
            <w10:wrap anchorx="page" anchory="page"/>
          </v:shape>
        </w:pict>
      </w:r>
      <w:r>
        <w:pict>
          <v:shape id="_x0000_s9049" o:spid="_x0000_s1033" type="#_x0000_t202" style="position:absolute;left:0;text-align:left;margin-left:179.2pt;margin-top:570.65pt;width:93.65pt;height:36.25pt;z-index:10;mso-position-horizontal-relative:page;mso-position-vertical-relative:page" stroked="f">
            <v:textbox style="mso-next-textbox:#_x0000_s9049" inset="0,0,0,0">
              <w:txbxContent>
                <w:p w:rsidR="00FF3B09" w:rsidRDefault="00FF3B09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F3B09" w:rsidRDefault="00FF3B09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050" o:spid="_x0000_s1034" type="#_x0000_t202" style="position:absolute;left:0;text-align:left;margin-left:301.55pt;margin-top:574.05pt;width:85.55pt;height:35.25pt;z-index:9;mso-position-horizontal-relative:page;mso-position-vertical-relative:page" stroked="f">
            <v:textbox style="mso-next-textbox:#_x0000_s9050" inset="0,0,0,0">
              <w:txbxContent>
                <w:p w:rsidR="00FF3B09" w:rsidRDefault="00FF3B09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F3B09" w:rsidRDefault="00FF3B09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51" o:spid="_x0000_s1035" type="#_x0000_t202" style="position:absolute;left:0;text-align:left;margin-left:440.35pt;margin-top:601.95pt;width:110.1pt;height:36.85pt;z-index:8;mso-position-horizontal-relative:page;mso-position-vertical-relative:page" stroked="f">
            <v:textbox style="mso-next-textbox:#_x0000_s9051" inset="0,0,0,0">
              <w:txbxContent>
                <w:p w:rsidR="00FF3B09" w:rsidRDefault="00FF3B09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F3B09" w:rsidRDefault="00FF3B09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52" o:spid="_x0000_s1036" type="#_x0000_t202" style="position:absolute;left:0;text-align:left;margin-left:101.95pt;margin-top:80.2pt;width:449.25pt;height:478.15pt;z-index:7;mso-position-horizontal-relative:page;mso-position-vertical-relative:page" stroked="f">
            <v:textbox style="mso-next-textbox:#_x0000_s905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5"/>
                    <w:gridCol w:w="5735"/>
                    <w:gridCol w:w="1369"/>
                  </w:tblGrid>
                  <w:tr w:rsidR="00FF3B09" w:rsidRPr="00FF3B09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FF3B09" w:rsidRP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 39א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שקיבל פיצויי פיטורים מבעל המפעל בנסיכות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בסעיף 6 (ב) לחוק זה או בסעיף 11 (ג) לחוק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פיטורים, תשכ"ג-1963. 4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לחייל משוחרר משירות סדיר תהא תוך שבה אחת מיום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השחרור זכות קדימה להישלח לעבודה במקום עבודה במפעל שבו היה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מועסק ארבעה שבועות רצופים לפחות סמוך לפני תחילת השירות; זכות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הקדימה כאמור בסעיף קטן זה תהיה עדיפה על פני זכות קדימה על פי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33 וכן על פני כל הוראה כחוק שירות התעסוקה, תשי"ט-51959,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ובתקנון השירות שנקבע לפי אותו חוק".</w:t>
                        </w:r>
                      </w:p>
                      <w:p w:rsidR="00FF3B09" w:rsidRP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סעיף 39א לחוק העיקרי - בטל.</w:t>
                        </w:r>
                      </w:p>
                    </w:tc>
                  </w:tr>
                  <w:tr w:rsidR="00FF3B09" w:rsidRPr="00FF3B09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FF3B09" w:rsidRP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41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FF3B09" w:rsidRP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41 לחוק העיקרי יבוא:</w:t>
                        </w:r>
                      </w:p>
                    </w:tc>
                  </w:tr>
                  <w:tr w:rsidR="00FF3B09" w:rsidRPr="00FF3B09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0" w:type="pct"/>
                      </w:tcPr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העדרו של עובד מעבודתו במפעל לרגל שירות חלקי לא ייראה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כהפסקה ברציפות עבודתו כמפעל, ואם פיטר בעל מפעל עובד בשל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בשירות חלקי, בטלים הפיטורים."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עובד</w:t>
                        </w:r>
                      </w:p>
                      <w:p w:rsidR="00FF3B09" w:rsidRP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 חלקי</w:t>
                        </w:r>
                      </w:p>
                    </w:tc>
                  </w:tr>
                  <w:tr w:rsidR="00FF3B09" w:rsidRPr="00FF3B09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FF3B09" w:rsidRP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43 (ב) לחוק העיקרי, אחרי פסקה (1א) יבואן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"(1כ) חייל משוחרר משירות סדיר אשר לו זכות קדימה להישלח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לפי סעיף 19, אך לא נשלח לעבודה לפיו או נשלח לעבודה</w:t>
                        </w:r>
                      </w:p>
                      <w:p w:rsidR="00FF3B09" w:rsidRP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נתקבל?".</w:t>
                        </w:r>
                      </w:p>
                    </w:tc>
                  </w:tr>
                  <w:tr w:rsidR="00FF3B09" w:rsidRPr="00FF3B09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פיצויי</w:t>
                        </w:r>
                      </w:p>
                      <w:p w:rsidR="00FF3B09" w:rsidRP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פיטורים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בחוק פיצויי פיטורים, תשכ"ג-1963 -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 (1), במקום "בסעיף 39א" יבוא "בסעיף 1 (ד)";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11, אחרי סעיף קטן (ב) יבוא: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התפטר עובד סמוך לפני התגייסותו לשירות סדיר כמשמעותו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 לחוק החיילים המשוחררים (החזרה לעבודה), תש"ט-1949,</w:t>
                        </w:r>
                      </w:p>
                      <w:p w:rsidR="00FF3B09" w:rsidRP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התגייסותו כאמור, רואים את ההתפטרות לענין חוק זה כפיטורים,"</w:t>
                        </w:r>
                      </w:p>
                    </w:tc>
                  </w:tr>
                  <w:tr w:rsidR="00FF3B09" w:rsidRPr="00FF3B09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</w:t>
                        </w:r>
                      </w:p>
                      <w:p w:rsid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מילואים</w:t>
                        </w:r>
                      </w:p>
                      <w:p w:rsidR="00FF3B09" w:rsidRP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(תגמולים)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FF3B09" w:rsidRP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סעיף 35 לחוק שירות מילואים (תגמולים), תשי"ט-1959 ננוסח משולב!6 - בטל.</w:t>
                        </w:r>
                      </w:p>
                    </w:tc>
                  </w:tr>
                  <w:tr w:rsidR="00FF3B09" w:rsidRPr="00FF3B09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FF3B09" w:rsidRP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FF3B09" w:rsidRDefault="00FF3B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חוק זה לא יגרע מזכויותיו של מי שלפני תחילתו שירת שירות סדיר או החל לשרת</w:t>
                        </w:r>
                      </w:p>
                      <w:p w:rsidR="00FF3B09" w:rsidRPr="00FF3B09" w:rsidRDefault="00FF3B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</w:t>
                        </w:r>
                      </w:p>
                    </w:tc>
                  </w:tr>
                </w:tbl>
                <w:p w:rsidR="00FF3B09" w:rsidRDefault="00FF3B0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1B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A937A8-A3AD-4AE0-A81A-CE59C2A8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1BE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F3B0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2008-04-06T22:58:00Z</dcterms:created>
  <dcterms:modified xsi:type="dcterms:W3CDTF">2008-04-06T22:58:00Z</dcterms:modified>
</cp:coreProperties>
</file>