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4F1D" w:rsidRDefault="00A44F1D">
      <w:pPr>
        <w:rPr>
          <w:rtl/>
        </w:rPr>
      </w:pPr>
    </w:p>
    <w:p w:rsidR="00A44F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2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249" inset="0,0,0,0">
              <w:txbxContent>
                <w:p w:rsidR="00873DF0" w:rsidRDefault="00873DF0">
                  <w:r>
                    <w:rPr>
                      <w:rtl/>
                    </w:rPr>
                    <w:t>97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9250" o:spid="_x0000_s1026" type="#_x0000_t202" style="position:absolute;left:0;text-align:left;margin-left:160.45pt;margin-top:668.5pt;width:394.4pt;height:71.85pt;z-index:3;mso-position-horizontal-relative:page;mso-position-vertical-relative:page" stroked="f">
            <v:textbox style="mso-next-textbox:#_x0000_s9250" inset="0,0,0,0">
              <w:txbxContent>
                <w:p w:rsidR="00873DF0" w:rsidRDefault="00873DF0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כ"א באדר תשל"ה (4 במרס 1975); הצעת החוק ודברי הסבר פורסמו בח"ח 1017, תשל'ב,</w:t>
                  </w:r>
                </w:p>
                <w:p w:rsidR="00873DF0" w:rsidRDefault="00873DF0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430.</w:t>
                  </w:r>
                </w:p>
                <w:p w:rsidR="00873DF0" w:rsidRPr="00A44F1D" w:rsidRDefault="00873DF0">
                  <w:pPr>
                    <w:pStyle w:val="OCRStyle1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ס"ח תשט"ו, עמ' 121; תשל"ב,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9251" o:spid="_x0000_s1027" type="#_x0000_t202" style="position:absolute;left:0;text-align:left;margin-left:98.7pt;margin-top:536.4pt;width:458.55pt;height:126.9pt;z-index:2;mso-position-horizontal-relative:page;mso-position-vertical-relative:page" stroked="f">
            <v:textbox style="mso-next-textbox:#_x0000_s925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5660"/>
                    <w:gridCol w:w="1422"/>
                  </w:tblGrid>
                  <w:tr w:rsidR="00873DF0" w:rsidRPr="00A44F1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873DF0" w:rsidRDefault="00873D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873DF0" w:rsidRPr="00A44F1D" w:rsidRDefault="00873D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6א-8ג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873DF0" w:rsidRDefault="00873D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לטיפול בחולי נפש, תשט"ו-1955  1(להלן - החוק העיקרי), אחרי סעיף 6</w:t>
                        </w:r>
                      </w:p>
                      <w:p w:rsidR="00873DF0" w:rsidRPr="00A44F1D" w:rsidRDefault="00873D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873DF0" w:rsidRPr="00A44F1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873DF0" w:rsidRDefault="00873DF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4" w:type="pct"/>
                      </w:tcPr>
                      <w:p w:rsidR="00873DF0" w:rsidRDefault="00873D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ציווה בית משפט על מעצרו של אדם והוא סבור, על יסוד</w:t>
                        </w:r>
                      </w:p>
                      <w:p w:rsidR="00873DF0" w:rsidRDefault="00873D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של רופא פסיכיאטר, כי העצור חולה וכי מצבו מצריך אשפוז,</w:t>
                        </w:r>
                      </w:p>
                      <w:p w:rsidR="00873DF0" w:rsidRDefault="00873D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לצוות שהמעצר יהיה בבית חולים או באגף פסיכי-</w:t>
                        </w:r>
                      </w:p>
                      <w:p w:rsidR="00873DF0" w:rsidRDefault="00873D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אטרי של בית סוהר, ובלבד שלא יינתן הצו אלא כנוכחות סניגורו של</w:t>
                        </w:r>
                      </w:p>
                      <w:p w:rsidR="00873DF0" w:rsidRDefault="00873D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העצור, ואם אין לו - ימנה לו בית המשפט סניגור, ושהעצור לא יועבר</w:t>
                        </w:r>
                      </w:p>
                      <w:p w:rsidR="00873DF0" w:rsidRDefault="00873D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חולים אלא לאחר גמר חקירתו.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873DF0" w:rsidRPr="00A44F1D" w:rsidRDefault="00873D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-אשפוזו של עצור</w:t>
                        </w:r>
                      </w:p>
                    </w:tc>
                  </w:tr>
                </w:tbl>
                <w:p w:rsidR="00873DF0" w:rsidRDefault="00873D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252" o:spid="_x0000_s1028" type="#_x0000_t202" style="position:absolute;left:0;text-align:left;margin-left:152.95pt;margin-top:439.6pt;width:401.95pt;height:94.25pt;z-index:1;mso-position-horizontal-relative:page;mso-position-vertical-relative:page" stroked="f">
            <v:textbox style="mso-next-textbox:#_x0000_s9252" inset="0,0,0,0">
              <w:txbxContent>
                <w:p w:rsidR="00873DF0" w:rsidRDefault="00873DF0">
                  <w:pPr>
                    <w:pStyle w:val="OCRStyle1"/>
                    <w:ind w:left="418"/>
                    <w:rPr>
                      <w:rtl/>
                    </w:rPr>
                  </w:pPr>
                </w:p>
                <w:p w:rsidR="00873DF0" w:rsidRDefault="00873DF0">
                  <w:pPr>
                    <w:pStyle w:val="OCRStyle1"/>
                    <w:ind w:left="533"/>
                    <w:rPr>
                      <w:rtl/>
                    </w:rPr>
                  </w:pPr>
                </w:p>
                <w:p w:rsidR="00873DF0" w:rsidRDefault="00873DF0">
                  <w:pPr>
                    <w:pStyle w:val="OCRStyle1"/>
                    <w:ind w:left="425"/>
                    <w:rPr>
                      <w:rtl/>
                    </w:rPr>
                  </w:pPr>
                </w:p>
                <w:p w:rsidR="00873DF0" w:rsidRPr="00A44F1D" w:rsidRDefault="00873DF0">
                  <w:pPr>
                    <w:pStyle w:val="OCRStyle1"/>
                    <w:ind w:left="6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לטיפול בחולי נפש (תיקון מס' 2), תשל"ה-1975 *</w:t>
                  </w:r>
                </w:p>
              </w:txbxContent>
            </v:textbox>
            <w10:wrap anchorx="page" anchory="page"/>
          </v:shape>
        </w:pict>
      </w:r>
    </w:p>
    <w:p w:rsidR="00147910" w:rsidRDefault="00147910">
      <w:pPr>
        <w:rPr>
          <w:rtl/>
        </w:rPr>
      </w:pPr>
      <w:r>
        <w:rPr>
          <w:rtl/>
        </w:rPr>
        <w:br w:type="page"/>
      </w:r>
    </w:p>
    <w:p w:rsidR="00147910" w:rsidRDefault="00000000">
      <w:pPr>
        <w:rPr>
          <w:rtl/>
        </w:rPr>
      </w:pPr>
      <w:r>
        <w:pict>
          <v:shape id="_x0000_s925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253" inset="0,0,0,0">
              <w:txbxContent>
                <w:p w:rsidR="00873DF0" w:rsidRDefault="00873DF0">
                  <w:r>
                    <w:rPr>
                      <w:rtl/>
                    </w:rPr>
                    <w:t>98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9254" o:spid="_x0000_s1030" type="#_x0000_t202" style="position:absolute;left:0;text-align:left;margin-left:90.1pt;margin-top:634.65pt;width:392.65pt;height:104.35pt;z-index:6;mso-position-horizontal-relative:page;mso-position-vertical-relative:page" stroked="f">
            <v:textbox style="mso-next-textbox:#_x0000_s9254" inset="0,0,0,0">
              <w:txbxContent>
                <w:p w:rsidR="00873DF0" w:rsidRDefault="00873DF0">
                  <w:pPr>
                    <w:pStyle w:val="OCRStyle2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תשפ"ה, עמ' 161.</w:t>
                  </w:r>
                </w:p>
                <w:p w:rsidR="00873DF0" w:rsidRPr="00147910" w:rsidRDefault="00873DF0">
                  <w:pPr>
                    <w:pStyle w:val="OCRStyle2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נופח חדש 21, עמ' ,459</w:t>
                  </w:r>
                </w:p>
              </w:txbxContent>
            </v:textbox>
            <w10:wrap anchorx="page" anchory="page"/>
          </v:shape>
        </w:pict>
      </w:r>
      <w:r>
        <w:pict>
          <v:shape id="_x0000_s9255" o:spid="_x0000_s1031" type="#_x0000_t202" style="position:absolute;left:0;text-align:left;margin-left:92.45pt;margin-top:73.15pt;width:463.7pt;height:540.55pt;z-index:5;mso-position-horizontal-relative:page;mso-position-vertical-relative:page" stroked="f">
            <v:textbox style="mso-next-textbox:#_x0000_s925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4"/>
                    <w:gridCol w:w="1368"/>
                    <w:gridCol w:w="1339"/>
                  </w:tblGrid>
                  <w:tr w:rsidR="00873DF0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משפט רשאי לצוות, בין לפי כקשת בעל דין ובין מיזמתו,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שהעצור ייבדק בדיקה רפואית כדי לקבוע אם הוא חולה.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ביתן צו כאמור בסעיף קטן (כ), רשאי פסיכיאטר מחוזי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אשפוז העצור לצורך הבדיקה, ובלבד שהאשפה לא יעלה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תקופת תקפו של צו המעצר.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6 (ה) יחול על צו לפי סעיף זה.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כאמור בסעיף זה ניתן לעיון חוזר ולערר כאמור בסעיפים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עד 35 לחוק סדר הדין הפלילי, תשכ"ה-ב1965 2,שינויים המחויי-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בים; הוגשו בקשה לעיון חוזר או ערר, רשאי בית המשפט לצוות על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ביצוע הצו,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ניתן צו לפי סעיף זה, יראו את העצור בעת שהוא נתון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בבדיקה או באשפוז כנמצא במשמורת כדין ויחולו, בשינויים המחוייבים,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18 ו-19 לפקודת בתי הסוהר [נוסח חדש], תשל"ב-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.1971 3.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צווים לפי סעיפים 6 או 6א וכן צו מעצר נגד חולה לפי כל חיקוק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רשאי בית המשפט ליתן שלא בנוכחות החולה, אם שוכנע על סמך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של רופא פסיכיאטר שאי אפשר לקיים את הדיון בנוכחותו או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שנוכחותו תזיק לבריאות נפשו, ובלבד שיהא סניגורו נוכח ואם אין לו -</w:t>
                        </w:r>
                      </w:p>
                      <w:p w:rsidR="00873DF0" w:rsidRPr="0014791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לו בית המשפט סניגור."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צווים שלא</w:t>
                        </w:r>
                      </w:p>
                      <w:p w:rsidR="00873DF0" w:rsidRPr="00147910" w:rsidRDefault="00873D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בנוכחות תחולה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73DF0" w:rsidRPr="00147910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873DF0" w:rsidRDefault="00873D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7 לחוק העיקרי -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יבוא;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ניתנו צו בית משפט לפי סעיפים 6 או 6א לאשפוזו של אדם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לבדיקתו, או הוראת פסיכיאטר מחוזי או תעודת רופא לאשפוזו של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חולה, והאדם מסרב לאשפוז או לבדיקה, רשאי הפסיכיאטר המחוזי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אשפוזו או על בדיקתו בעל כרחו (להלן-הוראת אשפוז),";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יבוא;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צו בית משפט לאשפוז או לבדיקה או הוראת פסיכיאטר</w:t>
                        </w:r>
                      </w:p>
                      <w:p w:rsidR="00873DF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לאשפוז ישמשו אסמכתה למשטרה להביא את האדם לפסיכיאטר</w:t>
                        </w:r>
                      </w:p>
                      <w:p w:rsidR="00873DF0" w:rsidRPr="0014791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לשם ביצוע הצו או ההוראה."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73DF0" w:rsidRPr="00147910" w:rsidRDefault="00873D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873DF0" w:rsidRPr="00147910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873DF0" w:rsidRDefault="00873D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8 לחוק העיקרי, כרישה, במקום "בהוראת אשפוז" יבוא "כשהוא מורה על</w:t>
                        </w:r>
                      </w:p>
                      <w:p w:rsidR="00873DF0" w:rsidRPr="00147910" w:rsidRDefault="00873D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אשפוז".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73DF0" w:rsidRPr="00147910" w:rsidRDefault="00873D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873DF0" w:rsidRDefault="00873D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A0B6F" w:rsidRDefault="003A0B6F">
      <w:pPr>
        <w:rPr>
          <w:rtl/>
        </w:rPr>
      </w:pPr>
      <w:r>
        <w:rPr>
          <w:rtl/>
        </w:rPr>
        <w:br w:type="page"/>
      </w:r>
    </w:p>
    <w:p w:rsidR="003A0B6F" w:rsidRDefault="00000000">
      <w:pPr>
        <w:rPr>
          <w:rtl/>
        </w:rPr>
      </w:pPr>
      <w:r>
        <w:pict>
          <v:shape id="_x0000_s9256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9256" inset="0,0,0,0">
              <w:txbxContent>
                <w:p w:rsidR="00873DF0" w:rsidRDefault="00873DF0">
                  <w:r>
                    <w:rPr>
                      <w:rtl/>
                    </w:rPr>
                    <w:t>99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9257" o:spid="_x0000_s1033" type="#_x0000_t202" style="position:absolute;left:0;text-align:left;margin-left:387.2pt;margin-top:716.5pt;width:170.3pt;height:32.65pt;z-index:12;mso-position-horizontal-relative:page;mso-position-vertical-relative:page" stroked="f">
            <v:textbox style="mso-next-textbox:#_x0000_s9257" inset="0,0,0,0">
              <w:txbxContent>
                <w:p w:rsidR="00873DF0" w:rsidRDefault="00873DF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258" o:spid="_x0000_s1034" type="#_x0000_t202" style="position:absolute;left:0;text-align:left;margin-left:173.4pt;margin-top:194.35pt;width:118.6pt;height:39.4pt;z-index:11;mso-position-horizontal-relative:page;mso-position-vertical-relative:page" stroked="f">
            <v:textbox style="mso-next-textbox:#_x0000_s9258" inset="0,0,0,0">
              <w:txbxContent>
                <w:p w:rsidR="00873DF0" w:rsidRDefault="00873DF0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ויקטיר שם-טוב</w:t>
                  </w:r>
                </w:p>
                <w:p w:rsidR="00873DF0" w:rsidRDefault="00873DF0">
                  <w:pPr>
                    <w:pStyle w:val="OCRStyle3"/>
                    <w:ind w:left="497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259" o:spid="_x0000_s1035" type="#_x0000_t202" style="position:absolute;left:0;text-align:left;margin-left:317.9pt;margin-top:197.7pt;width:81pt;height:36.05pt;z-index:10;mso-position-horizontal-relative:page;mso-position-vertical-relative:page" stroked="f">
            <v:textbox style="mso-next-textbox:#_x0000_s9259" inset="0,0,0,0">
              <w:txbxContent>
                <w:p w:rsidR="00873DF0" w:rsidRDefault="00873DF0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73DF0" w:rsidRDefault="00873DF0">
                  <w:pPr>
                    <w:pStyle w:val="OCRStyle3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60" o:spid="_x0000_s1036" type="#_x0000_t202" style="position:absolute;left:0;text-align:left;margin-left:447.4pt;margin-top:227pt;width:108.5pt;height:38.4pt;z-index:9;mso-position-horizontal-relative:page;mso-position-vertical-relative:page" stroked="f">
            <v:textbox style="mso-next-textbox:#_x0000_s9260" inset="0,0,0,0">
              <w:txbxContent>
                <w:p w:rsidR="00873DF0" w:rsidRDefault="00873DF0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73DF0" w:rsidRDefault="00873DF0">
                  <w:pPr>
                    <w:pStyle w:val="OCRStyle3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61" o:spid="_x0000_s1037" type="#_x0000_t202" style="position:absolute;left:0;text-align:left;margin-left:99.7pt;margin-top:70.8pt;width:461.15pt;height:96.8pt;z-index:8;mso-position-horizontal-relative:page;mso-position-vertical-relative:page" stroked="f">
            <v:textbox style="mso-next-textbox:#_x0000_s926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3"/>
                    <w:gridCol w:w="7091"/>
                  </w:tblGrid>
                  <w:tr w:rsidR="00873DF0" w:rsidRPr="003A0B6F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873DF0" w:rsidRPr="003A0B6F" w:rsidRDefault="00873D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873DF0" w:rsidRDefault="00873D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26 לחוק העיקרי, אחרי סעיף קטן (ב) יבוא:</w:t>
                        </w:r>
                      </w:p>
                      <w:p w:rsidR="00873DF0" w:rsidRDefault="00873D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היה המאושפז עצור, חייב המנהל להגביל זכויותיו לפי סעיף</w:t>
                        </w:r>
                      </w:p>
                      <w:p w:rsidR="00873DF0" w:rsidRDefault="00873D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במידה שהדבר דרוש לדעת המשטרה לצרכי החקירה, בדרך שהיו</w:t>
                        </w:r>
                      </w:p>
                      <w:p w:rsidR="00873DF0" w:rsidRDefault="00873D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מוגבלות אילו היה במעצר רגיל, ובלבד שלא תוגבל זכותו לשלוח</w:t>
                        </w:r>
                      </w:p>
                      <w:p w:rsidR="00873DF0" w:rsidRPr="003A0B6F" w:rsidRDefault="00873D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מכתבים סגורים לעורך דינו, לשר הבריאות וליועץ המשפטי לממשלה."</w:t>
                        </w:r>
                      </w:p>
                    </w:tc>
                  </w:tr>
                </w:tbl>
                <w:p w:rsidR="00873DF0" w:rsidRDefault="00873DF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73DF0" w:rsidRDefault="00873DF0">
      <w:pPr>
        <w:rPr>
          <w:rtl/>
        </w:rPr>
      </w:pPr>
      <w:r>
        <w:rPr>
          <w:rtl/>
        </w:rPr>
        <w:br w:type="page"/>
      </w:r>
    </w:p>
    <w:p w:rsidR="00873DF0" w:rsidRDefault="00000000">
      <w:pPr>
        <w:rPr>
          <w:rtl/>
        </w:rPr>
      </w:pPr>
      <w:r>
        <w:pict>
          <v:shape id="_x0000_s9262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9262" inset="0,0,0,0">
              <w:txbxContent>
                <w:p w:rsidR="00873DF0" w:rsidRDefault="00873DF0">
                  <w:r>
                    <w:rPr>
                      <w:rtl/>
                    </w:rPr>
                    <w:t>100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9263" o:spid="_x0000_s1039" type="#_x0000_t202" style="position:absolute;left:0;text-align:left;margin-left:83.9pt;margin-top:709.1pt;width:130.3pt;height:26.75pt;z-index:14;mso-position-horizontal-relative:page;mso-position-vertical-relative:page" stroked="f">
            <v:textbox style="mso-next-textbox:#_x0000_s9263" inset="0,0,0,0">
              <w:txbxContent>
                <w:p w:rsidR="00873DF0" w:rsidRDefault="00873DF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44F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D2644E-732C-4806-A80E-C9622B60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4F1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4791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A0B6F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873D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2008-04-06T22:20:00Z</dcterms:created>
  <dcterms:modified xsi:type="dcterms:W3CDTF">2008-04-06T22:20:00Z</dcterms:modified>
</cp:coreProperties>
</file>