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3A46" w:rsidRDefault="00673A46">
      <w:pPr>
        <w:rPr>
          <w:rtl/>
        </w:rPr>
      </w:pPr>
    </w:p>
    <w:p w:rsidR="00673A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2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264" inset="0,0,0,0">
              <w:txbxContent>
                <w:p w:rsidR="00673A46" w:rsidRDefault="00673A46">
                  <w:r>
                    <w:rPr>
                      <w:rtl/>
                    </w:rPr>
                    <w:t>24                                           ספר החוקים 876                 י"ט בכסליו התשל"ח 29.11.1977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5" o:spid="_x0000_s1026" type="#_x0000_t202" style="position:absolute;left:0;text-align:left;margin-left:96.95pt;margin-top:656.65pt;width:384.3pt;height:96.8pt;z-index:6;mso-position-horizontal-relative:page;mso-position-vertical-relative:page" stroked="f">
            <v:textbox style="mso-next-textbox:#_x0000_s9265" inset="0,0,0,0">
              <w:txbxContent>
                <w:p w:rsidR="00673A46" w:rsidRDefault="00673A46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בכסלו תשל"ח (21 בנובמבר 1977); הצעת החוק ודברי הסבר פורסמו בה''ח 1303, תשל"ז</w:t>
                  </w:r>
                </w:p>
                <w:p w:rsidR="00673A46" w:rsidRDefault="00673A46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248. </w:t>
                  </w:r>
                </w:p>
                <w:p w:rsidR="00673A46" w:rsidRDefault="00673A46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תשט"ו, עמ' 121; תשל"ג, עמי 126; תשל"ה, עמ' 8, עמ' .97</w:t>
                  </w:r>
                </w:p>
                <w:p w:rsidR="00673A46" w:rsidRDefault="00673A46">
                  <w:pPr>
                    <w:pStyle w:val="OCRStyle1"/>
                    <w:ind w:left="2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תשכ"ג, עמ' .120</w:t>
                  </w:r>
                </w:p>
                <w:p w:rsidR="00673A46" w:rsidRDefault="00673A46">
                  <w:pPr>
                    <w:pStyle w:val="OCRStyle1"/>
                    <w:ind w:left="47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673A46" w:rsidRPr="00673A46" w:rsidRDefault="00673A46">
                  <w:pPr>
                    <w:pStyle w:val="OCRStyle1"/>
                    <w:ind w:left="16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6" o:spid="_x0000_s1027" type="#_x0000_t202" style="position:absolute;left:0;text-align:left;margin-left:116.95pt;margin-top:575.5pt;width:103.55pt;height:32.65pt;z-index:5;mso-position-horizontal-relative:page;mso-position-vertical-relative:page" stroked="f">
            <v:textbox style="mso-next-textbox:#_x0000_s9266" inset="0,0,0,0">
              <w:txbxContent>
                <w:p w:rsidR="00673A46" w:rsidRDefault="00673A4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673A46" w:rsidRDefault="00673A46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7" o:spid="_x0000_s1028" type="#_x0000_t202" style="position:absolute;left:0;text-align:left;margin-left:250.6pt;margin-top:571.35pt;width:85.35pt;height:41.8pt;z-index:4;mso-position-horizontal-relative:page;mso-position-vertical-relative:page" stroked="f">
            <v:textbox style="mso-next-textbox:#_x0000_s9267" inset="0,0,0,0">
              <w:txbxContent>
                <w:p w:rsidR="00673A46" w:rsidRDefault="00673A4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73A46" w:rsidRDefault="00673A46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8" o:spid="_x0000_s1029" type="#_x0000_t202" style="position:absolute;left:0;text-align:left;margin-left:358.5pt;margin-top:607.35pt;width:135.25pt;height:44.15pt;z-index:3;mso-position-horizontal-relative:page;mso-position-vertical-relative:page" stroked="f">
            <v:textbox style="mso-next-textbox:#_x0000_s9268" inset="0,0,0,0">
              <w:txbxContent>
                <w:p w:rsidR="00673A46" w:rsidRDefault="00673A46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73A46" w:rsidRDefault="00673A46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73A46" w:rsidRDefault="00673A46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69" o:spid="_x0000_s1030" type="#_x0000_t202" style="position:absolute;left:0;text-align:left;margin-left:90.2pt;margin-top:117.7pt;width:471.25pt;height:452.05pt;z-index:2;mso-position-horizontal-relative:page;mso-position-vertical-relative:page" stroked="f">
            <v:textbox style="mso-next-textbox:#_x0000_s926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2"/>
                    <w:gridCol w:w="1257"/>
                    <w:gridCol w:w="1332"/>
                  </w:tblGrid>
                  <w:tr w:rsidR="00673A46" w:rsidRPr="00673A46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673A46" w:rsidRDefault="00673A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אחרי סעיף 9 לחוק לטיפול בחולי נפש, תשט"ו-1955  1(להלן - החוק העיקרי),</w:t>
                        </w:r>
                      </w:p>
                      <w:p w:rsidR="00673A46" w:rsidRP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יבואן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73A46" w:rsidRP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673A46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ראה המנהל כי חולה שאושפז אינו מסוגל לדאוג לעניניו או כי הוא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 מסוגל לדאוג לעניניו, יודיע על כך המנהל לשר הבריאות? פרטי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ההודעות ודרכי מסירתן ייקבעו בתקנות."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"הודעות על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יכולת חולת</w:t>
                        </w:r>
                      </w:p>
                      <w:p w:rsidR="00673A46" w:rsidRP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לדאוג לעניניו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73A46" w:rsidRPr="00673A46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673A46" w:rsidRP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10 לחוק העיקרי יבוא: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73A46" w:rsidRP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10</w:t>
                        </w:r>
                      </w:p>
                    </w:tc>
                  </w:tr>
                  <w:tr w:rsidR="00673A46">
                    <w:trPr>
                      <w:jc w:val="right"/>
                    </w:trPr>
                    <w:tc>
                      <w:tcPr>
                        <w:tcW w:w="3490" w:type="pct"/>
                      </w:tcPr>
                      <w:p w:rsid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הפסיכיאטר המחוזי יודיע לאפוטרופוס הכללי על כל אחת מאלה: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שוכנע שחולה שאושפז אינו מסוגל לדאוג לעניניו;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שוכנע שחולה מאושפז שוב מסוגל לדאוג לעניניו;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חולה שניתנה עליו הודעה לפי פסקה (1) שוחרר, למעט</w:t>
                        </w:r>
                      </w:p>
                      <w:p w:rsidR="00673A46" w:rsidRP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לנסיון לפי סעיף 22."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''הודעות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לאפוטרופוס</w:t>
                        </w:r>
                      </w:p>
                      <w:p w:rsidR="00673A46" w:rsidRP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73A46" w:rsidRPr="00673A46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27 לחוק העיקרי, במקום סעיפים קטנים (א) עד (ג) יבוא: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קיבל האפוטרופוס הכללי הודעה לפי סעיף 10 (1) ואין לחולה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אפוטרופוס, רשאי הוא, אם ראה צורך בכך, לעשות לגבי נכסי החולה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משפטית שאינה סובלת דיחוי, כולל כינוס נכסים ומילוי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כספיות, והוראות סעיפים 44, 47, 57 ו-72 לחוק הכשרות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המשפטית והאפוטרופסות, חשכ"ב-1962 2, יחולו בשינויים המחריבים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תפקידו של האפוטרופוס הכללי יפקע באחת מאלה: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משקיבל הודעה לפי סעיף 10 (2) או (3);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משנתמנה לחולה אפוטרופוס?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משקבע בית המשפט שאין עוד צורך במילוי תפקידו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האפוטרופוס הכללי -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63 לחוק הכשרות המשפטית והאפוטרופסות, תשכ"ב-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1962, יחולו בשינויים המחוייבים לפי הענין.</w:t>
                        </w:r>
                      </w:p>
                      <w:p w:rsid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לקבוע בתקנות את האגרות שיש לשלם</w:t>
                        </w:r>
                      </w:p>
                      <w:p w:rsidR="00673A46" w:rsidRP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הכללי בעד פעולותיו לפי סעיף זה."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73A46" w:rsidRP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673A46" w:rsidRPr="00673A46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673A46" w:rsidRPr="00673A46" w:rsidRDefault="00673A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ששים יום מיום פרסומו ברשומות.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673A46" w:rsidRPr="00673A46" w:rsidRDefault="00673A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73A46" w:rsidRDefault="00673A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270" o:spid="_x0000_s1031" type="#_x0000_t202" style="position:absolute;left:0;text-align:left;margin-left:140.3pt;margin-top:88.4pt;width:311.65pt;height:21pt;z-index:1;mso-position-horizontal-relative:page;mso-position-vertical-relative:page" stroked="f">
            <v:textbox style="mso-next-textbox:#_x0000_s9270" inset="0,0,0,0">
              <w:txbxContent>
                <w:p w:rsidR="00673A46" w:rsidRPr="00673A46" w:rsidRDefault="00673A46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לטיפול בחולי נפש (תיקון מס' 4), תשל"ח-1977*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73A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6D4521-F85C-4396-8162-91A295BB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3A4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2008-04-06T23:30:00Z</dcterms:created>
  <dcterms:modified xsi:type="dcterms:W3CDTF">2008-04-06T23:30:00Z</dcterms:modified>
</cp:coreProperties>
</file>