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C47FD" w:rsidRDefault="005C47FD">
      <w:pPr>
        <w:rPr>
          <w:rtl/>
        </w:rPr>
      </w:pPr>
    </w:p>
    <w:p w:rsidR="005C47F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344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9344" inset="0,0,0,0">
              <w:txbxContent>
                <w:p w:rsidR="00E6007D" w:rsidRDefault="00E6007D">
                  <w:r>
                    <w:rPr>
                      <w:rtl/>
                    </w:rPr>
                    <w:t>148                                          ספר החוקים 605                     י"ט באב התש"ל 21.08.1970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9345" o:spid="_x0000_s1026" type="#_x0000_t202" style="position:absolute;left:0;text-align:left;margin-left:107.3pt;margin-top:198.45pt;width:432.25pt;height:546.5pt;z-index:4;mso-wrap-style:none;mso-position-horizontal-relative:page;mso-position-vertical-relative:page" stroked="f">
            <v:textbox style="mso-next-textbox:#_x0000_s9345" inset="0,0,0,0">
              <w:txbxContent>
                <w:tbl>
                  <w:tblPr>
                    <w:tblW w:w="46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58"/>
                  </w:tblGrid>
                  <w:tr w:rsidR="00E6007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007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 תוספת זכיון זה נעשה ביום ג' באב תש"ל (5 באוגוסט 1970) בין ממשלת ישלאל</w:t>
                        </w:r>
                      </w:p>
                    </w:tc>
                  </w:tr>
                  <w:tr w:rsidR="00E6007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007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המיוצגת ע"י שר הפיתוח בשם מדינת ישראל (להלן - הממשלה) מצד אחד ובין חברת</w:t>
                        </w:r>
                      </w:p>
                    </w:tc>
                  </w:tr>
                  <w:tr w:rsidR="00E6007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007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החשמל לישראל בע"מ (להלן - החברה, מונח זה יכלול את חליפיה והבאים מכוחה כדין),</w:t>
                        </w:r>
                      </w:p>
                    </w:tc>
                  </w:tr>
                  <w:tr w:rsidR="00E6007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007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מצד שני.</w:t>
                        </w:r>
                      </w:p>
                    </w:tc>
                  </w:tr>
                  <w:tr w:rsidR="00E6007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007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הואיל והחברה היא בעל הזכיון מיום 5 במרס 1926 המופיע בחלק 1 של התוספת</w:t>
                        </w:r>
                      </w:p>
                    </w:tc>
                  </w:tr>
                  <w:tr w:rsidR="00E6007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007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זכיונות החשמל (חא"י פרק נ"ב) (להלן - הזכיון);</w:t>
                        </w:r>
                      </w:p>
                    </w:tc>
                  </w:tr>
                  <w:tr w:rsidR="00E6007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007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והואיל וברצון הצדדים להכניס את השינויים הבאים בזכיון, כדי להקל על השקעות</w:t>
                        </w:r>
                      </w:p>
                    </w:tc>
                  </w:tr>
                  <w:tr w:rsidR="00E6007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007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נוספות במפעל החברה,</w:t>
                        </w:r>
                      </w:p>
                    </w:tc>
                  </w:tr>
                  <w:tr w:rsidR="00E6007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007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הילכך מעיד שטר תוספת זכיון זה לאמור:</w:t>
                        </w:r>
                      </w:p>
                    </w:tc>
                  </w:tr>
                  <w:tr w:rsidR="00E6007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007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38 לזכיון, הסיפה החל מהמלים "ובתנאי שיקבעו הוראות מספיקות" - בטלה.</w:t>
                        </w:r>
                      </w:p>
                    </w:tc>
                  </w:tr>
                  <w:tr w:rsidR="00E6007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007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44 (ג) לזכיון, במקום סעיף קטן (ג) יבוא:</w:t>
                        </w:r>
                      </w:p>
                    </w:tc>
                  </w:tr>
                  <w:tr w:rsidR="00E6007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007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כן תשלם הממשלה לחברה פיצוי נאות בעד המיתקנים שהות-</w:t>
                        </w:r>
                      </w:p>
                    </w:tc>
                  </w:tr>
                  <w:tr w:rsidR="00E6007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007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קנו והתיקונים שנעשו (למעט תיקונים שנדרשו מחמת בלאי רגיל) -</w:t>
                        </w:r>
                      </w:p>
                    </w:tc>
                  </w:tr>
                  <w:tr w:rsidR="00E6007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007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במשך 23 שנים שקדמו למועד הרכישה, אם לגבי</w:t>
                        </w:r>
                      </w:p>
                    </w:tc>
                  </w:tr>
                  <w:tr w:rsidR="00E6007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007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מיתקנים או תיקונים נקבע שיעור פחת בשיעור 4.5% בסעיף 2</w:t>
                        </w:r>
                      </w:p>
                    </w:tc>
                  </w:tr>
                  <w:tr w:rsidR="00E6007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007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לתכנית הכספית שבתוספת השניה, או</w:t>
                        </w:r>
                      </w:p>
                    </w:tc>
                  </w:tr>
                  <w:tr w:rsidR="00E6007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007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במשך 15 שנים שקדמו למועד הרכישה, אם לגבי אותם</w:t>
                        </w:r>
                      </w:p>
                    </w:tc>
                  </w:tr>
                  <w:tr w:rsidR="00E6007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007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מיתקנים או תיקונים נקבע שיעור פחת בשיעור 7% בסעיף</w:t>
                        </w:r>
                      </w:p>
                    </w:tc>
                  </w:tr>
                  <w:tr w:rsidR="00E6007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007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האמור:</w:t>
                        </w:r>
                      </w:p>
                    </w:tc>
                  </w:tr>
                  <w:tr w:rsidR="00E6007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007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אם נתקיימו כל אלה ובמידה שנתקיימו:</w:t>
                        </w:r>
                      </w:p>
                    </w:tc>
                  </w:tr>
                  <w:tr w:rsidR="00E6007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007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המיתקנים או התיקונים לא הופחתו עדיין על פי הוראת</w:t>
                        </w:r>
                      </w:p>
                    </w:tc>
                  </w:tr>
                  <w:tr w:rsidR="00E6007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007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התוספת השניה:</w:t>
                        </w:r>
                      </w:p>
                    </w:tc>
                  </w:tr>
                  <w:tr w:rsidR="00E6007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007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התשלום בעד ההתקנה והתיקון לא נעשה מתוך חוב</w:t>
                        </w:r>
                      </w:p>
                    </w:tc>
                  </w:tr>
                  <w:tr w:rsidR="00E6007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007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הנובע מאיגרות חוב או מהון הלוואה שעדיין לא נפרעו</w:t>
                        </w:r>
                      </w:p>
                    </w:tc>
                  </w:tr>
                  <w:tr w:rsidR="00E6007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007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ושהממשלה תהיה חייבת בפרעונם על פי הוראות סעיף</w:t>
                        </w:r>
                      </w:p>
                    </w:tc>
                  </w:tr>
                  <w:tr w:rsidR="00E6007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007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(ו)?</w:t>
                        </w:r>
                      </w:p>
                    </w:tc>
                  </w:tr>
                  <w:tr w:rsidR="00E6007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007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התשלום בעד המיתקנים או התיקונים לא נעשה מתוך</w:t>
                        </w:r>
                      </w:p>
                    </w:tc>
                  </w:tr>
                  <w:tr w:rsidR="00E6007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007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 מניות, או על-ידי מעונין בחיבור כמשמעותו בשטר</w:t>
                        </w:r>
                      </w:p>
                    </w:tc>
                  </w:tr>
                  <w:tr w:rsidR="00E6007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007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הזכיון שנעשה ביום ח' בכסלו תשכ"ד (24 בנובמבר</w:t>
                        </w:r>
                      </w:p>
                    </w:tc>
                  </w:tr>
                  <w:tr w:rsidR="00E6007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007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1963)."</w:t>
                        </w:r>
                      </w:p>
                    </w:tc>
                  </w:tr>
                  <w:tr w:rsidR="00E6007D" w:rsidRPr="005C47F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007D" w:rsidRPr="005C47F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י' באב תש"ל (12 באוגוסט 1970); הצעת החוק ודברי הסבר פורסמו בה"ח 892 ,תשיל'</w:t>
                        </w:r>
                      </w:p>
                    </w:tc>
                  </w:tr>
                  <w:tr w:rsidR="00E6007D" w:rsidRPr="005C47F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007D" w:rsidRPr="005C47F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עמ' 223.</w:t>
                        </w:r>
                      </w:p>
                    </w:tc>
                  </w:tr>
                  <w:tr w:rsidR="00E6007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007D" w:rsidRDefault="00E6007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6007D" w:rsidRDefault="00E6007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346" o:spid="_x0000_s1027" type="#_x0000_t202" style="position:absolute;left:0;text-align:left;margin-left:264.35pt;margin-top:174.3pt;width:53.45pt;height:16.25pt;z-index:3;mso-wrap-style:none;mso-position-horizontal-relative:page;mso-position-vertical-relative:page" stroked="f">
            <v:textbox style="mso-next-textbox:#_x0000_s9346" inset="0,0,0,0">
              <w:txbxContent>
                <w:p w:rsidR="00E6007D" w:rsidRPr="005C47FD" w:rsidRDefault="00E6007D">
                  <w:pPr>
                    <w:pStyle w:val="OCRStyle1"/>
                    <w:ind w:left="16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</w:txbxContent>
            </v:textbox>
            <w10:wrap anchorx="page" anchory="page"/>
          </v:shape>
        </w:pict>
      </w:r>
      <w:r>
        <w:pict>
          <v:shape id="_x0000_s9347" o:spid="_x0000_s1028" type="#_x0000_t202" style="position:absolute;left:0;text-align:left;margin-left:119.8pt;margin-top:108pt;width:445.1pt;height:55.05pt;z-index:2;mso-wrap-style:none;mso-position-horizontal-relative:page;mso-position-vertical-relative:page" stroked="f">
            <v:textbox style="mso-next-textbox:#_x0000_s9347" inset="0,0,0,0">
              <w:txbxContent>
                <w:tbl>
                  <w:tblPr>
                    <w:tblW w:w="47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8"/>
                    <w:gridCol w:w="1055"/>
                  </w:tblGrid>
                  <w:tr w:rsidR="00E6007D" w:rsidRPr="005C47FD">
                    <w:trPr>
                      <w:jc w:val="right"/>
                    </w:trPr>
                    <w:tc>
                      <w:tcPr>
                        <w:tcW w:w="4348" w:type="pct"/>
                      </w:tcPr>
                      <w:p w:rsidR="00E6007D" w:rsidRPr="005C47F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שטר תוספת הזכיון שבתוספת לחוק זה רואים אותו כבר-תוקף לכל מטרותיו.</w:t>
                        </w:r>
                      </w:p>
                    </w:tc>
                    <w:tc>
                      <w:tcPr>
                        <w:tcW w:w="652" w:type="pct"/>
                      </w:tcPr>
                      <w:p w:rsidR="00E6007D" w:rsidRPr="005C47F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</w:t>
                        </w:r>
                      </w:p>
                    </w:tc>
                  </w:tr>
                  <w:tr w:rsidR="00E6007D" w:rsidRPr="005C47FD">
                    <w:trPr>
                      <w:jc w:val="right"/>
                    </w:trPr>
                    <w:tc>
                      <w:tcPr>
                        <w:tcW w:w="4348" w:type="pct"/>
                      </w:tcPr>
                      <w:p w:rsidR="00E6007D" w:rsidRPr="005C47F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שר הפיתוח ממונה על ביצוע חוק זה.</w:t>
                        </w:r>
                      </w:p>
                    </w:tc>
                    <w:tc>
                      <w:tcPr>
                        <w:tcW w:w="652" w:type="pct"/>
                      </w:tcPr>
                      <w:p w:rsidR="00E6007D" w:rsidRPr="005C47FD" w:rsidRDefault="00E600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E6007D" w:rsidRDefault="00E6007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348" o:spid="_x0000_s1029" type="#_x0000_t202" style="position:absolute;left:0;text-align:left;margin-left:130.1pt;margin-top:77.9pt;width:317.6pt;height:25.75pt;z-index:1;mso-wrap-style:none;mso-position-horizontal-relative:page;mso-position-vertical-relative:page" stroked="f">
            <v:textbox style="mso-next-textbox:#_x0000_s9348" inset="0,0,0,0">
              <w:txbxContent>
                <w:p w:rsidR="00E6007D" w:rsidRPr="005C47FD" w:rsidRDefault="00E6007D">
                  <w:pPr>
                    <w:pStyle w:val="OCRStyle1"/>
                    <w:ind w:left="7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התוספת לזכיון החשמל (תיקון הזכיון), תש"ל-1970 *</w:t>
                  </w:r>
                </w:p>
              </w:txbxContent>
            </v:textbox>
            <w10:wrap anchorx="page" anchory="page"/>
          </v:shape>
        </w:pict>
      </w:r>
    </w:p>
    <w:p w:rsidR="00E6007D" w:rsidRDefault="00E6007D">
      <w:pPr>
        <w:rPr>
          <w:rtl/>
        </w:rPr>
      </w:pPr>
      <w:r>
        <w:rPr>
          <w:rtl/>
        </w:rPr>
        <w:br w:type="page"/>
      </w:r>
    </w:p>
    <w:p w:rsidR="00E6007D" w:rsidRDefault="00000000">
      <w:pPr>
        <w:rPr>
          <w:rtl/>
        </w:rPr>
      </w:pPr>
      <w:r>
        <w:pict>
          <v:shape id="_x0000_s9349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9349" inset="0,0,0,0">
              <w:txbxContent>
                <w:p w:rsidR="00E6007D" w:rsidRDefault="00E6007D">
                  <w:r>
                    <w:rPr>
                      <w:rtl/>
                    </w:rPr>
                    <w:t>149                                          ספר החוקים 605                     י"ט באב התש"ל 21.08.1970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9350" o:spid="_x0000_s1031" type="#_x0000_t202" style="position:absolute;left:0;text-align:left;margin-left:160.8pt;margin-top:313.55pt;width:123.95pt;height:52.45pt;z-index:9;mso-wrap-style:none;mso-position-horizontal-relative:page;mso-position-vertical-relative:page" stroked="f">
            <v:textbox style="mso-next-textbox:#_x0000_s9350" inset="0,0,0,0">
              <w:txbxContent>
                <w:p w:rsidR="00E6007D" w:rsidRDefault="00E6007D">
                  <w:pPr>
                    <w:pStyle w:val="OCRStyle2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E6007D" w:rsidRDefault="00E6007D">
                  <w:pPr>
                    <w:pStyle w:val="OCRStyle2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ראש הממשלה</w:t>
                  </w:r>
                </w:p>
                <w:p w:rsidR="00E6007D" w:rsidRDefault="00E6007D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ממלא מקום שר הפיתוח</w:t>
                  </w:r>
                </w:p>
              </w:txbxContent>
            </v:textbox>
            <w10:wrap anchorx="page" anchory="page"/>
          </v:shape>
        </w:pict>
      </w:r>
      <w:r>
        <w:pict>
          <v:shape id="_x0000_s9351" o:spid="_x0000_s1032" type="#_x0000_t202" style="position:absolute;left:0;text-align:left;margin-left:297.65pt;margin-top:310.95pt;width:104.15pt;height:48.1pt;z-index:8;mso-wrap-style:none;mso-position-horizontal-relative:page;mso-position-vertical-relative:page" stroked="f">
            <v:textbox style="mso-next-textbox:#_x0000_s9351" inset="0,0,0,0">
              <w:txbxContent>
                <w:p w:rsidR="00E6007D" w:rsidRDefault="00E6007D">
                  <w:pPr>
                    <w:pStyle w:val="OCRStyle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E6007D" w:rsidRDefault="00E6007D">
                  <w:pPr>
                    <w:pStyle w:val="OCRStyle2"/>
                    <w:ind w:left="43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352" o:spid="_x0000_s1033" type="#_x0000_t202" style="position:absolute;left:0;text-align:left;margin-left:417.2pt;margin-top:356.5pt;width:135.25pt;height:42.15pt;z-index:7;mso-wrap-style:none;mso-position-horizontal-relative:page;mso-position-vertical-relative:page" stroked="f">
            <v:textbox style="mso-next-textbox:#_x0000_s9352" inset="0,0,0,0">
              <w:txbxContent>
                <w:p w:rsidR="00E6007D" w:rsidRDefault="00E6007D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E6007D" w:rsidRDefault="00E6007D">
                  <w:pPr>
                    <w:pStyle w:val="OCRStyle2"/>
                    <w:ind w:left="727"/>
                  </w:pPr>
                  <w:r>
                    <w:rPr>
                      <w:rtl/>
                    </w:rPr>
                    <w:t>בשיא המדיבה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353" o:spid="_x0000_s1034" type="#_x0000_t202" style="position:absolute;left:0;text-align:left;margin-left:122.8pt;margin-top:67.2pt;width:438.15pt;height:223.95pt;z-index:6;mso-wrap-style:none;mso-position-horizontal-relative:page;mso-position-vertical-relative:page" stroked="f">
            <v:textbox style="mso-next-textbox:#_x0000_s9353" inset="0,0,0,0">
              <w:txbxContent>
                <w:p w:rsidR="00E6007D" w:rsidRDefault="00E6007D">
                  <w:pPr>
                    <w:pStyle w:val="OCRStyle2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3. בסעיף 46 לזכיון, במקום הסיפה המתחילה במלים "והחברה תהא רשאית לתבוע" יבוא:</w:t>
                  </w:r>
                </w:p>
                <w:p w:rsidR="00E6007D" w:rsidRDefault="00E6007D">
                  <w:pPr>
                    <w:pStyle w:val="OCRStyle2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"ואולם -</w:t>
                  </w:r>
                </w:p>
                <w:p w:rsidR="00E6007D" w:rsidRDefault="00E6007D">
                  <w:pPr>
                    <w:pStyle w:val="OCRStyle2"/>
                    <w:ind w:left="1285"/>
                    <w:rPr>
                      <w:rtl/>
                    </w:rPr>
                  </w:pPr>
                  <w:r>
                    <w:rPr>
                      <w:rtl/>
                    </w:rPr>
                    <w:t>(1) החברה תהא זכאית לתבוע פיצוי נאות בעד התקנות ותיקונים בתנאים</w:t>
                  </w:r>
                </w:p>
                <w:p w:rsidR="00E6007D" w:rsidRDefault="00E6007D">
                  <w:pPr>
                    <w:pStyle w:val="OCRStyle2"/>
                    <w:ind w:left="1282"/>
                    <w:rPr>
                      <w:rtl/>
                    </w:rPr>
                  </w:pPr>
                  <w:r>
                    <w:rPr>
                      <w:rtl/>
                    </w:rPr>
                    <w:t>הקבועים בסעיף 44 (ג) כאילו רכשה הממשלה את המפעל במועד שבו עבר</w:t>
                  </w:r>
                </w:p>
                <w:p w:rsidR="00E6007D" w:rsidRDefault="00E6007D">
                  <w:pPr>
                    <w:pStyle w:val="OCRStyle2"/>
                    <w:ind w:left="1282"/>
                    <w:rPr>
                      <w:rtl/>
                    </w:rPr>
                  </w:pPr>
                  <w:r>
                    <w:rPr>
                      <w:rtl/>
                    </w:rPr>
                    <w:t>המפעל לרשות הממשלה;</w:t>
                  </w:r>
                </w:p>
                <w:p w:rsidR="00E6007D" w:rsidRDefault="00E6007D">
                  <w:pPr>
                    <w:pStyle w:val="OCRStyle2"/>
                    <w:ind w:left="1285"/>
                    <w:rPr>
                      <w:rtl/>
                    </w:rPr>
                  </w:pPr>
                  <w:r>
                    <w:rPr>
                      <w:rtl/>
                    </w:rPr>
                    <w:t>(2) הוראות סעיף 44 (ו) יחולו בשינויים המחוייבים על פי הענין כאילו</w:t>
                  </w:r>
                </w:p>
                <w:p w:rsidR="00E6007D" w:rsidRDefault="00E6007D">
                  <w:pPr>
                    <w:pStyle w:val="OCRStyle2"/>
                    <w:ind w:left="1285"/>
                    <w:rPr>
                      <w:rtl/>
                    </w:rPr>
                  </w:pPr>
                  <w:r>
                    <w:rPr>
                      <w:rtl/>
                    </w:rPr>
                    <w:t>רכשה הממשלה את המפעל במועד האמור,"</w:t>
                  </w:r>
                </w:p>
                <w:p w:rsidR="00E6007D" w:rsidRDefault="00E6007D">
                  <w:pPr>
                    <w:pStyle w:val="OCRStyle2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ולראיה באו הצדדים על החתום:.</w:t>
                  </w:r>
                </w:p>
                <w:p w:rsidR="00E6007D" w:rsidRDefault="00E6007D">
                  <w:pPr>
                    <w:pStyle w:val="OCRStyle2"/>
                    <w:ind w:left="414"/>
                  </w:pPr>
                  <w:r>
                    <w:rPr>
                      <w:rtl/>
                    </w:rPr>
                    <w:t>שר הפיתוח בעד ובשם מדינת ישראל חברת החשמל לישראל בע"מ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C47F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8F1DEA3-B23A-4DB7-93AE-5289E37BF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C47F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6007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2008-04-09T14:50:00Z</dcterms:created>
  <dcterms:modified xsi:type="dcterms:W3CDTF">2008-04-09T14:50:00Z</dcterms:modified>
</cp:coreProperties>
</file>