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D7BA3" w:rsidRDefault="00ED7BA3">
      <w:pPr>
        <w:rPr>
          <w:rtl/>
        </w:rPr>
      </w:pPr>
    </w:p>
    <w:p w:rsidR="00ED7BA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51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9516" inset="0,0,0,0">
              <w:txbxContent>
                <w:p w:rsidR="00ED7BA3" w:rsidRDefault="00ED7BA3">
                  <w:r>
                    <w:rPr>
                      <w:rtl/>
                    </w:rPr>
                    <w:t>12                                           ספר החוקים 947                   ב' בכסליו התש"מ 22.11.1979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9517" o:spid="_x0000_s1026" type="#_x0000_t202" style="position:absolute;left:0;text-align:left;margin-left:86.6pt;margin-top:380.5pt;width:469.05pt;height:378pt;z-index:7;mso-position-horizontal-relative:page;mso-position-vertical-relative:page" stroked="f">
            <v:textbox style="mso-next-textbox:#_x0000_s9517" inset="0,0,0,0">
              <w:txbxContent>
                <w:p w:rsidR="00ED7BA3" w:rsidRDefault="00ED7BA3">
                  <w:pPr>
                    <w:pStyle w:val="OCRStyle1"/>
                    <w:ind w:left="4198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תיקון טעות דפוס</w:t>
                  </w:r>
                </w:p>
                <w:p w:rsidR="00ED7BA3" w:rsidRDefault="00ED7BA3">
                  <w:pPr>
                    <w:pStyle w:val="OCRStyle1"/>
                    <w:ind w:left="2934"/>
                    <w:rPr>
                      <w:rtl/>
                    </w:rPr>
                  </w:pPr>
                  <w:r>
                    <w:rPr>
                      <w:rtl/>
                    </w:rPr>
                    <w:t>(לפי סעיף 10ב לפקודת סדרי השלטון והמשפט, תש"ח-1948)</w:t>
                  </w:r>
                </w:p>
                <w:p w:rsidR="00ED7BA3" w:rsidRDefault="00ED7BA3">
                  <w:pPr>
                    <w:pStyle w:val="OCRStyle1"/>
                    <w:ind w:left="2045"/>
                    <w:rPr>
                      <w:rtl/>
                    </w:rPr>
                  </w:pPr>
                  <w:r>
                    <w:rPr>
                      <w:rtl/>
                    </w:rPr>
                    <w:t>בחוק שירות הציבור (מתנות), תש"ם-11979, בסעיף 6, במקום "תשל"ט" יבוא ''תש"ם".</w:t>
                  </w:r>
                </w:p>
                <w:p w:rsidR="00ED7BA3" w:rsidRDefault="00ED7BA3">
                  <w:pPr>
                    <w:pStyle w:val="OCRStyle1"/>
                    <w:ind w:left="1624"/>
                    <w:rPr>
                      <w:rtl/>
                    </w:rPr>
                  </w:pPr>
                  <w:r>
                    <w:rPr>
                      <w:rtl/>
                    </w:rPr>
                    <w:t>1 ס''ח 944, תש"ם, עמ' 2.</w:t>
                  </w:r>
                </w:p>
                <w:p w:rsidR="00ED7BA3" w:rsidRDefault="00ED7BA3">
                  <w:pPr>
                    <w:pStyle w:val="OCRStyle1"/>
                    <w:ind w:left="7272"/>
                    <w:rPr>
                      <w:rtl/>
                    </w:rPr>
                  </w:pPr>
                  <w:r>
                    <w:rPr>
                      <w:rtl/>
                    </w:rPr>
                    <w:t>ו</w:t>
                  </w:r>
                </w:p>
                <w:p w:rsidR="00ED7BA3" w:rsidRDefault="00ED7BA3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12                                                                                                 ספר החוקים 947, ב' בכסלו תש"ם, 22.11.1979</w:t>
                  </w:r>
                </w:p>
                <w:p w:rsidR="00ED7BA3" w:rsidRPr="00ED7BA3" w:rsidRDefault="00ED7BA3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 xml:space="preserve">המחיר 1 לירה 2832 - 0334 </w:t>
                  </w:r>
                  <w:r>
                    <w:t>ISSN</w:t>
                  </w:r>
                  <w:r>
                    <w:rPr>
                      <w:rtl/>
                    </w:rPr>
                    <w:t xml:space="preserve"> 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9518" o:spid="_x0000_s1027" type="#_x0000_t202" style="position:absolute;left:0;text-align:left;margin-left:89.15pt;margin-top:222.9pt;width:387.3pt;height:58.6pt;z-index:6;mso-position-horizontal-relative:page;mso-position-vertical-relative:page" stroked="f">
            <v:textbox style="mso-next-textbox:#_x0000_s9518" inset="0,0,0,0">
              <w:txbxContent>
                <w:p w:rsidR="00ED7BA3" w:rsidRDefault="00ED7BA3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בחשון תש"ם (18 בנובמבר 1979); הצעת החוק ודברי הסבר פורסמו בה"ח 1416, תשל"ט,</w:t>
                  </w:r>
                </w:p>
                <w:p w:rsidR="00ED7BA3" w:rsidRDefault="00ED7BA3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עמ' 281.</w:t>
                  </w:r>
                </w:p>
                <w:p w:rsidR="00ED7BA3" w:rsidRDefault="00ED7BA3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1 דיני מדיבת ישראל, נוסח חדש 4, עמ' 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9519" o:spid="_x0000_s1028" type="#_x0000_t202" style="position:absolute;left:0;text-align:left;margin-left:111.55pt;margin-top:153.2pt;width:95.45pt;height:36.25pt;z-index:5;mso-position-horizontal-relative:page;mso-position-vertical-relative:page" stroked="f">
            <v:textbox style="mso-next-textbox:#_x0000_s9519" inset="0,0,0,0">
              <w:txbxContent>
                <w:p w:rsidR="00ED7BA3" w:rsidRDefault="00ED7BA3">
                  <w:pPr>
                    <w:pStyle w:val="OCRStyle1"/>
                    <w:ind w:left="22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יגאל הורביץ</w:t>
                  </w:r>
                </w:p>
                <w:p w:rsidR="00ED7BA3" w:rsidRPr="00ED7BA3" w:rsidRDefault="00ED7BA3">
                  <w:pPr>
                    <w:pStyle w:val="OCRStyle1"/>
                    <w:ind w:left="52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9520" o:spid="_x0000_s1029" type="#_x0000_t202" style="position:absolute;left:0;text-align:left;margin-left:228.55pt;margin-top:152.4pt;width:87.7pt;height:33.45pt;z-index:4;mso-position-horizontal-relative:page;mso-position-vertical-relative:page" stroked="f">
            <v:textbox style="mso-next-textbox:#_x0000_s9520" inset="0,0,0,0">
              <w:txbxContent>
                <w:p w:rsidR="00ED7BA3" w:rsidRDefault="00ED7BA3">
                  <w:pPr>
                    <w:pStyle w:val="OCRStyle1"/>
                    <w:ind w:left="155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מנחם בגין</w:t>
                  </w:r>
                </w:p>
                <w:p w:rsidR="00ED7BA3" w:rsidRPr="00ED7BA3" w:rsidRDefault="00ED7BA3">
                  <w:pPr>
                    <w:pStyle w:val="OCRStyle1"/>
                    <w:ind w:left="1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521" o:spid="_x0000_s1030" type="#_x0000_t202" style="position:absolute;left:0;text-align:left;margin-left:389.55pt;margin-top:175.6pt;width:86.9pt;height:37.8pt;z-index:3;mso-position-horizontal-relative:page;mso-position-vertical-relative:page" stroked="f">
            <v:textbox style="mso-next-textbox:#_x0000_s9521" inset="0,0,0,0">
              <w:txbxContent>
                <w:p w:rsidR="00ED7BA3" w:rsidRDefault="00ED7BA3">
                  <w:pPr>
                    <w:pStyle w:val="OCRStyle1"/>
                    <w:ind w:left="16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יצחק נכון</w:t>
                  </w:r>
                </w:p>
                <w:p w:rsidR="00ED7BA3" w:rsidRPr="00ED7BA3" w:rsidRDefault="00ED7BA3">
                  <w:pPr>
                    <w:pStyle w:val="OCRStyle1"/>
                    <w:ind w:left="23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522" o:spid="_x0000_s1031" type="#_x0000_t202" style="position:absolute;left:0;text-align:left;margin-left:312.9pt;margin-top:109.25pt;width:230.65pt;height:31.9pt;z-index:2;mso-position-horizontal-relative:page;mso-position-vertical-relative:page" stroked="f">
            <v:textbox style="mso-next-textbox:#_x0000_s9522" inset="0,0,0,0">
              <w:txbxContent>
                <w:tbl>
                  <w:tblPr>
                    <w:tblW w:w="43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3100"/>
                    <w:gridCol w:w="1094"/>
                  </w:tblGrid>
                  <w:tr w:rsidR="00ED7BA3">
                    <w:trPr>
                      <w:jc w:val="right"/>
                    </w:trPr>
                    <w:tc>
                      <w:tcPr>
                        <w:tcW w:w="3696" w:type="pct"/>
                      </w:tcPr>
                      <w:p w:rsidR="00ED7BA3" w:rsidRPr="00ED7BA3" w:rsidRDefault="00ED7BA3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פקודת החבקים  1 - בטלה</w:t>
                        </w:r>
                      </w:p>
                    </w:tc>
                    <w:tc>
                      <w:tcPr>
                        <w:tcW w:w="1304" w:type="pct"/>
                      </w:tcPr>
                      <w:p w:rsidR="00ED7BA3" w:rsidRDefault="00ED7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</w:tr>
                </w:tbl>
                <w:p w:rsidR="00ED7BA3" w:rsidRDefault="00ED7BA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523" o:spid="_x0000_s1032" type="#_x0000_t202" style="position:absolute;left:0;text-align:left;margin-left:155.3pt;margin-top:81.75pt;width:255.8pt;height:24.95pt;z-index:1;mso-position-horizontal-relative:page;mso-position-vertical-relative:page" stroked="f">
            <v:textbox style="mso-next-textbox:#_x0000_s9523" inset="0,0,0,0">
              <w:txbxContent>
                <w:p w:rsidR="00ED7BA3" w:rsidRPr="00ED7BA3" w:rsidRDefault="00ED7BA3">
                  <w:pPr>
                    <w:pStyle w:val="OCRStyle1"/>
                    <w:ind w:left="28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לביטול פקודת החבקים, תש"ם-1979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D7BA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7E48E0D-FB3F-42D8-8121-94CC922A3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D7BA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2008-04-07T00:05:00Z</dcterms:created>
  <dcterms:modified xsi:type="dcterms:W3CDTF">2008-04-07T00:05:00Z</dcterms:modified>
</cp:coreProperties>
</file>