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B631B" w:rsidRDefault="002B631B">
      <w:pPr>
        <w:rPr>
          <w:rtl/>
        </w:rPr>
      </w:pPr>
    </w:p>
    <w:p w:rsidR="002B631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9533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9533" inset="0,0,0,0">
              <w:txbxContent>
                <w:p w:rsidR="002B631B" w:rsidRDefault="002B631B">
                  <w:r>
                    <w:rPr>
                      <w:rtl/>
                    </w:rPr>
                    <w:t>45                                           ספר החוקים 443                    ח' בשבט התשכ"ה 11.01.1965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9534" o:spid="_x0000_s1026" type="#_x0000_t202" style="position:absolute;left:0;text-align:left;margin-left:186.35pt;margin-top:193.75pt;width:90.5pt;height:45.15pt;z-index:5;mso-position-horizontal-relative:page;mso-position-vertical-relative:page" stroked="f">
            <v:textbox style="mso-next-textbox:#_x0000_s9534" inset="0,0,0,0">
              <w:txbxContent>
                <w:p w:rsidR="002B631B" w:rsidRDefault="002B631B">
                  <w:pPr>
                    <w:pStyle w:val="OCRStyle1"/>
                    <w:ind w:left="79"/>
                    <w:rPr>
                      <w:rtl/>
                    </w:rPr>
                  </w:pPr>
                  <w:r>
                    <w:rPr>
                      <w:rtl/>
                    </w:rPr>
                    <w:t>אליהו ששון</w:t>
                  </w:r>
                </w:p>
                <w:p w:rsidR="002B631B" w:rsidRDefault="002B631B">
                  <w:pPr>
                    <w:pStyle w:val="OCRStyle1"/>
                    <w:ind w:left="324"/>
                  </w:pPr>
                  <w:r>
                    <w:rPr>
                      <w:rtl/>
                    </w:rPr>
                    <w:t>שר הדואר</w:t>
                  </w:r>
                </w:p>
              </w:txbxContent>
            </v:textbox>
            <w10:wrap anchorx="page" anchory="page"/>
          </v:shape>
        </w:pict>
      </w:r>
      <w:r>
        <w:pict>
          <v:shape id="_x0000_s9535" o:spid="_x0000_s1027" type="#_x0000_t202" style="position:absolute;left:0;text-align:left;margin-left:307.55pt;margin-top:197.1pt;width:88.7pt;height:41pt;z-index:4;mso-position-horizontal-relative:page;mso-position-vertical-relative:page" stroked="f">
            <v:textbox style="mso-next-textbox:#_x0000_s9535" inset="0,0,0,0">
              <w:txbxContent>
                <w:p w:rsidR="002B631B" w:rsidRDefault="002B631B">
                  <w:pPr>
                    <w:pStyle w:val="OCRStyle1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2B631B" w:rsidRDefault="002B631B">
                  <w:pPr>
                    <w:pStyle w:val="OCRStyle1"/>
                    <w:ind w:left="18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9536" o:spid="_x0000_s1028" type="#_x0000_t202" style="position:absolute;left:0;text-align:left;margin-left:410.7pt;margin-top:225.25pt;width:146.9pt;height:46.95pt;z-index:3;mso-position-horizontal-relative:page;mso-position-vertical-relative:page" stroked="f">
            <v:textbox style="mso-next-textbox:#_x0000_s9536" inset="0,0,0,0">
              <w:txbxContent>
                <w:p w:rsidR="002B631B" w:rsidRDefault="002B631B">
                  <w:pPr>
                    <w:pStyle w:val="OCRStyle1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שביאור זלמן שזר</w:t>
                  </w:r>
                </w:p>
                <w:p w:rsidR="002B631B" w:rsidRDefault="002B631B">
                  <w:pPr>
                    <w:pStyle w:val="OCRStyle1"/>
                    <w:ind w:left="680"/>
                  </w:pPr>
                  <w:r>
                    <w:rPr>
                      <w:rtl/>
                    </w:rPr>
                    <w:t>בשיא המדיבה</w:t>
                  </w:r>
                </w:p>
              </w:txbxContent>
            </v:textbox>
            <w10:wrap anchorx="page" anchory="page"/>
          </v:shape>
        </w:pict>
      </w:r>
      <w:r>
        <w:pict>
          <v:shape id="_x0000_s9537" o:spid="_x0000_s1029" type="#_x0000_t202" style="position:absolute;left:0;text-align:left;margin-left:99.25pt;margin-top:104.05pt;width:456.6pt;height:79.4pt;z-index:2;mso-position-horizontal-relative:page;mso-position-vertical-relative:page" stroked="f">
            <v:textbox style="mso-next-textbox:#_x0000_s9537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39"/>
                    <w:gridCol w:w="7062"/>
                  </w:tblGrid>
                  <w:tr w:rsidR="002B631B" w:rsidRPr="002B631B">
                    <w:trPr>
                      <w:jc w:val="right"/>
                    </w:trPr>
                    <w:tc>
                      <w:tcPr>
                        <w:tcW w:w="746" w:type="pct"/>
                      </w:tcPr>
                      <w:p w:rsidR="002B631B" w:rsidRPr="002B631B" w:rsidRDefault="002B631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</w:t>
                        </w:r>
                      </w:p>
                    </w:tc>
                    <w:tc>
                      <w:tcPr>
                        <w:tcW w:w="4254" w:type="pct"/>
                      </w:tcPr>
                      <w:p w:rsidR="002B631B" w:rsidRDefault="002B631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בסעיף 4 לפקודת הטלגרף האלחוטי 1(להלן - הפקודה), במקום "יהיה מותר לו</w:t>
                        </w:r>
                      </w:p>
                      <w:p w:rsidR="002B631B" w:rsidRPr="002B631B" w:rsidRDefault="002B63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למגהל הכללי של בתי-הדואר, באישורו של שר הדואר" יבוא "יהיה שר הדואר רשאי".</w:t>
                        </w:r>
                      </w:p>
                    </w:tc>
                  </w:tr>
                  <w:tr w:rsidR="002B631B" w:rsidRPr="002B631B">
                    <w:trPr>
                      <w:jc w:val="right"/>
                    </w:trPr>
                    <w:tc>
                      <w:tcPr>
                        <w:tcW w:w="746" w:type="pct"/>
                      </w:tcPr>
                      <w:p w:rsidR="002B631B" w:rsidRPr="002B631B" w:rsidRDefault="002B631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7</w:t>
                        </w:r>
                      </w:p>
                    </w:tc>
                    <w:tc>
                      <w:tcPr>
                        <w:tcW w:w="4254" w:type="pct"/>
                      </w:tcPr>
                      <w:p w:rsidR="002B631B" w:rsidRDefault="002B631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7 לפקודה, במקום "באישורו של שר הדואר רשאי המנהל הכללי של בתי-</w:t>
                        </w:r>
                      </w:p>
                      <w:p w:rsidR="002B631B" w:rsidRPr="002B631B" w:rsidRDefault="002B63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הדואר" יבוא "שר הדואר רשאי".</w:t>
                        </w:r>
                      </w:p>
                    </w:tc>
                  </w:tr>
                </w:tbl>
                <w:p w:rsidR="002B631B" w:rsidRDefault="002B631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9538" o:spid="_x0000_s1030" type="#_x0000_t202" style="position:absolute;left:0;text-align:left;margin-left:182pt;margin-top:75.95pt;width:361.95pt;height:25.55pt;z-index:1;mso-position-horizontal-relative:page;mso-position-vertical-relative:page" stroked="f">
            <v:textbox style="mso-next-textbox:#_x0000_s9538" inset="0,0,0,0">
              <w:txbxContent>
                <w:p w:rsidR="002B631B" w:rsidRPr="002B631B" w:rsidRDefault="002B631B">
                  <w:pPr>
                    <w:pStyle w:val="OCRStyle1"/>
                    <w:ind w:left="205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הטלגרף האלחוטי (מס' 2), תשכ"ה--1965*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2B631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B631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4C41381-DFA1-4DF3-9E37-3E8ED71F5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B631B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4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2008-04-09T14:20:00Z</dcterms:created>
  <dcterms:modified xsi:type="dcterms:W3CDTF">2008-04-09T14:20:00Z</dcterms:modified>
</cp:coreProperties>
</file>