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1C74" w:rsidRDefault="006E1C74">
      <w:pPr>
        <w:rPr>
          <w:rtl/>
        </w:rPr>
      </w:pPr>
    </w:p>
    <w:p w:rsidR="006E1C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56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9560" inset="0,0,0,0">
              <w:txbxContent>
                <w:p w:rsidR="00CC6E52" w:rsidRDefault="00CC6E52">
                  <w:r>
                    <w:rPr>
                      <w:rtl/>
                    </w:rPr>
                    <w:t>146                                          ספר החוקים 132                  י"ז באלול התשי"ג 28.08.1953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9561" o:spid="_x0000_s1026" type="#_x0000_t202" style="position:absolute;left:0;text-align:left;margin-left:60.8pt;margin-top:717.1pt;width:412.05pt;height:100.8pt;z-index:4;mso-position-horizontal-relative:page;mso-position-vertical-relative:page" stroked="f">
            <v:textbox style="mso-next-textbox:#_x0000_s9561" inset="0,0,0,0">
              <w:txbxContent>
                <w:p w:rsidR="00CC6E52" w:rsidRDefault="00CC6E52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באלול תשי"ג (19 באוגוסט 1953) ; הצעת החוק ודברי הסבר נתפרסמו</w:t>
                  </w:r>
                </w:p>
                <w:p w:rsidR="00CC6E52" w:rsidRDefault="00CC6E52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כהצעות חוק 159 מיום ב' בניסן תשי"ג (18.3.53) עמ' 164.</w:t>
                  </w:r>
                </w:p>
                <w:p w:rsidR="00CC6E52" w:rsidRDefault="00CC6E52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חוקי א"י, כרף ב', פרק ימ"א, עמ' 1392</w:t>
                  </w:r>
                </w:p>
                <w:p w:rsidR="00CC6E52" w:rsidRDefault="00CC6E52">
                  <w:pPr>
                    <w:pStyle w:val="OCRStyle1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כרר כ', פרק ק"יב, עמ' 1121</w:t>
                  </w:r>
                </w:p>
                <w:p w:rsidR="00CC6E52" w:rsidRPr="006E1C74" w:rsidRDefault="00CC6E52">
                  <w:pPr>
                    <w:pStyle w:val="OCRStyle1"/>
                    <w:ind w:left="26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ע"ד מס' 1472 מיום 5.2.46, תוס' 1, עמ' 6</w:t>
                  </w:r>
                </w:p>
              </w:txbxContent>
            </v:textbox>
            <w10:wrap anchorx="page" anchory="page"/>
          </v:shape>
        </w:pict>
      </w:r>
      <w:r>
        <w:pict>
          <v:shape id="_x0000_s9562" o:spid="_x0000_s1027" type="#_x0000_t202" style="position:absolute;left:0;text-align:left;margin-left:68.35pt;margin-top:94.8pt;width:496pt;height:618.55pt;z-index:3;mso-position-horizontal-relative:page;mso-position-vertical-relative:page" stroked="f">
            <v:textbox style="mso-next-textbox:#_x0000_s956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54"/>
                    <w:gridCol w:w="1264"/>
                  </w:tblGrid>
                  <w:tr w:rsidR="00CC6E52" w:rsidRPr="006E1C74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CC6E52" w:rsidRDefault="00CC6E52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פקודת הטבק 1, תתוקן כך: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בכל מקום בפקודה שגאמר בו "אקסייז" קרי "בלו" ;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2 -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"מנהל" תבוא הגדרה זו: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""מנהל" פירושו - מנהל המכס והבלו" ;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הגדרת "טבק" יווספו מלים אלה: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 זרעי טבק"*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3' אחרי סעיף קטן (2) יווספו סעיפים קטנים אלה: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שר האוצר רשאי' בצו, לפטור מבלו' טבק מיוצר שהוא מיועד לתצרוכת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 או שוטרים או פקידי בתי סוהר' ונמסר לצבא-הגנה לישראל או לחיל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או לשירות בתי סוהר או למוסד שאושר על ידי שר האוצר כמוסד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להספקת מצרכים לחיילים, לשוטרים או לפקידי בתי סוהר' ולמשפחותיהם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בלבה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טבק מיוצר הפטור מתשלום בלו לפי סעיף קטן (3)' לא יימסר לידי אדם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חייל או שוטר או פקיד בתי סוהר, אלא אם שולם הבלו לפני המסירה.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זה -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"חיל המשטרה" פירושו כמשמעותו בפקודת המשטרה 2 ; "שירות בתי הסוהר"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פירושו כמשמעותו בפקודת בתי הסוהר' 1946 3."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4 -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(1א)(ד)' במקום המלים "שלוש שנים" יבואו המלים "שתי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שנים".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(2א) יבוא סעיף קטן זה: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המנהל רשאי להגביל ברשיון, בשעת נתינתו' את שטחה של כל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חלקה שישתלו בה טבק' וכן רשאי הוא' בהסכמת המנהל הכללי של משרד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החקלאות' לקבוע ברשיון את סוגו של הטבק שעל המגדל לשתול."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10 יסומן כסעיף 10 (1) ואחריו יבואו סעיפים קטנים אלה: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על אף האמור בסעיף קטן (1) רשאי המנהל' לשם הגברת יצוא הטבק,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לכל מגדל' סוחר וחרשתן, למכור טבק שיימצא ברשותו, בין בכוח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בפועל' כולו או מקצתו' לכל אדם שיציין בהוראה' ובלבד ותובטח למוכר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תמורה הוגנת.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המנהל רשאי לקבוע מחירים לטבק.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נשקל הטבק וניתנה הרשאת העברה מתאימה' חייב המגדל והסוחר להודיע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למנהל' תוך שלושים יום מתום תקופת ההרשאה' על כל כמות טבק שלא הועברה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לתעודתה."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בסעיפים 11 (1)' 19 (2) ו- 31 00 יימחקו המלים "ויהא בר חידוש".</w:t>
                        </w:r>
                      </w:p>
                      <w:p w:rsidR="00CC6E52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בסעיף 35, במקום סעיפים קטנים (3) ו-(4) יבוא סעיף קטן זה:</w:t>
                        </w:r>
                      </w:p>
                      <w:p w:rsidR="00CC6E52" w:rsidRPr="006E1C74" w:rsidRDefault="00CC6E5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נייר לסיגריות שהובא בניגוד לסעיף זה - יוחרם."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C6E52" w:rsidRDefault="00CC6E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CC6E52" w:rsidRPr="006E1C74" w:rsidRDefault="00CC6E5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פקודה הטנק</w:t>
                        </w:r>
                      </w:p>
                    </w:tc>
                  </w:tr>
                </w:tbl>
                <w:p w:rsidR="00CC6E52" w:rsidRDefault="00CC6E5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563" o:spid="_x0000_s1028" type="#_x0000_t202" style="position:absolute;left:0;text-align:left;margin-left:159.8pt;margin-top:75pt;width:258.2pt;height:17.8pt;z-index:2;mso-position-horizontal-relative:page;mso-position-vertical-relative:page" stroked="f">
            <v:textbox style="mso-next-textbox:#_x0000_s9563" inset="0,0,0,0">
              <w:txbxContent>
                <w:p w:rsidR="00CC6E52" w:rsidRPr="006E1C74" w:rsidRDefault="00CC6E52">
                  <w:pPr>
                    <w:pStyle w:val="OCRStyle1"/>
                    <w:ind w:left="25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הטבק, תשי"ג-1953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9564" o:spid="_x0000_s1029" type="#_x0000_t202" style="position:absolute;left:0;text-align:left;margin-left:504.9pt;margin-top:64.5pt;width:64.95pt;height:17.05pt;z-index:1;mso-position-horizontal-relative:page;mso-position-vertical-relative:page" stroked="f">
            <v:textbox style="mso-next-textbox:#_x0000_s9564" inset="0,0,0,0">
              <w:txbxContent>
                <w:p w:rsidR="00CC6E52" w:rsidRDefault="00CC6E52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מספר 32</w:t>
                  </w:r>
                </w:p>
              </w:txbxContent>
            </v:textbox>
            <w10:wrap anchorx="page" anchory="page"/>
          </v:shape>
        </w:pict>
      </w:r>
    </w:p>
    <w:p w:rsidR="00CC6E52" w:rsidRDefault="00CC6E52">
      <w:pPr>
        <w:rPr>
          <w:rtl/>
        </w:rPr>
      </w:pPr>
      <w:r>
        <w:rPr>
          <w:rtl/>
        </w:rPr>
        <w:br w:type="page"/>
      </w:r>
    </w:p>
    <w:p w:rsidR="00CC6E52" w:rsidRDefault="00000000">
      <w:pPr>
        <w:rPr>
          <w:rtl/>
        </w:rPr>
      </w:pPr>
      <w:r>
        <w:pict>
          <v:shape id="_x0000_s9565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9565" inset="0,0,0,0">
              <w:txbxContent>
                <w:p w:rsidR="00CC6E52" w:rsidRDefault="00CC6E52">
                  <w:r>
                    <w:rPr>
                      <w:rtl/>
                    </w:rPr>
                    <w:t>147                                          ספר החוקים 132                  י"ז באלול התשי"ג 28.08.1953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9566" o:spid="_x0000_s1031" type="#_x0000_t202" style="position:absolute;left:0;text-align:left;margin-left:373.05pt;margin-top:784.1pt;width:188.7pt;height:20.4pt;z-index:10;mso-position-horizontal-relative:page;mso-position-vertical-relative:page" stroked="f">
            <v:textbox style="mso-next-textbox:#_x0000_s9566" inset="0,0,0,0">
              <w:txbxContent>
                <w:p w:rsidR="00CC6E52" w:rsidRDefault="00CC6E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567" o:spid="_x0000_s1032" type="#_x0000_t202" style="position:absolute;left:0;text-align:left;margin-left:178.85pt;margin-top:690.25pt;width:91.1pt;height:31.7pt;z-index:9;mso-position-horizontal-relative:page;mso-position-vertical-relative:page" stroked="f">
            <v:textbox style="mso-next-textbox:#_x0000_s9567" inset="0,0,0,0">
              <w:txbxContent>
                <w:p w:rsidR="00CC6E52" w:rsidRDefault="00CC6E52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C6E52" w:rsidRDefault="00CC6E52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9568" o:spid="_x0000_s1033" type="#_x0000_t202" style="position:absolute;left:0;text-align:left;margin-left:310.9pt;margin-top:689.25pt;width:131.85pt;height:49.3pt;z-index:8;mso-position-horizontal-relative:page;mso-position-vertical-relative:page" stroked="f">
            <v:textbox style="mso-next-textbox:#_x0000_s9568" inset="0,0,0,0">
              <w:txbxContent>
                <w:p w:rsidR="00CC6E52" w:rsidRDefault="00CC6E52">
                  <w:pPr>
                    <w:pStyle w:val="OCRStyle2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CC6E52" w:rsidRDefault="00CC6E52">
                  <w:pPr>
                    <w:pStyle w:val="OCRStyle2"/>
                    <w:ind w:left="846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CC6E52" w:rsidRDefault="00CC6E52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69" o:spid="_x0000_s1034" type="#_x0000_t202" style="position:absolute;left:0;text-align:left;margin-left:447.5pt;margin-top:734.8pt;width:94.85pt;height:38.2pt;z-index:7;mso-position-horizontal-relative:page;mso-position-vertical-relative:page" stroked="f">
            <v:textbox style="mso-next-textbox:#_x0000_s9569" inset="0,0,0,0">
              <w:txbxContent>
                <w:p w:rsidR="00CC6E52" w:rsidRDefault="00CC6E52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C6E52" w:rsidRDefault="00CC6E52">
                  <w:pPr>
                    <w:pStyle w:val="OCRStyle2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70" o:spid="_x0000_s1035" type="#_x0000_t202" style="position:absolute;left:0;text-align:left;margin-left:77.45pt;margin-top:64.6pt;width:488.05pt;height:617.35pt;z-index:6;mso-position-horizontal-relative:page;mso-position-vertical-relative:page" stroked="f">
            <v:textbox style="mso-next-textbox:#_x0000_s957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6"/>
                    <w:gridCol w:w="6379"/>
                    <w:gridCol w:w="1070"/>
                  </w:tblGrid>
                  <w:tr w:rsidR="00CC6E52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בסעיף 36, במקום התנאי המגביל הראשון יבוא תנאי מגביל זה: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"בתנאי שאין להשתמש בזכות הכניסה והחיפוש לפי סעיף זה במקום המשמש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למגורים בלבד, אלא אם ניתן צו חיפוש מאת בית משפט מוסמך."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בסעיף 37, לאחר פסקה (ד) תיווסף פסקה זו: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טבק מיוצר שנמסר בניגוד לסעיף 3 (4)."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בסעיף 38, במקום סעיף קטן (2) יבואו סעיפים קטנים אלה: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מי שנמצא ברשותו טבק מוברח, דינו - קנס חמש עשרה לירות לכל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קילוגרם או חלק מקילוגרם, או פי שלושה מסכום הבלו המשתלם עליו' הכל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הסכום הגדול יותר, ואם אותו אדם כבר הורשע פעם על אותה עבירה -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כאמור או מאסר ששה חדשים או שני העבשים כאחד.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(2א) (א) פקיד מכס וכל שוטר רשאי לתפוס כל אמצעי הובלה ששימש ליבוא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טבק מוברח, לסילוקו או להובלתו, ובלבד שלא יתפוס אמצעי הובלה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שנפחו הרשום עולה על 250 טון; אך רשאי הוא לעצור אמצעי הובלה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על פי הוראה מאת המנהל.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אמצעי הובלה שנתפס כאמור, רשאי בית המשפט לצוות על החרמתו.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אמצעי הובלה שנפחו הרשום עולה על 250 טון ונעצר כאמור' דין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בעליו - קנס עשרת אלפים לירות' ועם תשלום הקנס, או מתן ערבות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לתשלומו' יוחזר לבעליו.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היה אמצעי הובלה שנתפס לפי פסקה (א) בעל חיים, רשאי המנהל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מכירתו במחיר שיקבע.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(ד.) אמצעי הובלה שנתפס לפי סעיף קטן זה ותוך שלושה חדשים מיום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תפיסתו לא הוגשה לבית המשפט תביעה פלילית ולא תביעה להחרמתו,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שהוגשה תביעה כזו, אך בית המשפט לא ציווה על החרמת אמצעי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ההובלה - יוחזר לבעליו' ואם נמכר - תשולם לו התמורה."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אחרי סעיף 38 יווסף סעיף זה:</w:t>
                        </w:r>
                      </w:p>
                    </w:tc>
                  </w:tr>
                  <w:tr w:rsidR="00CC6E52" w:rsidRPr="00CC6E52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4" w:type="pct"/>
                      </w:tcPr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38א. כל שהוחרם לפי פקודה זו ייעשה בו כפי שיורה המנהל."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,,די; דברים</w:t>
                        </w:r>
                      </w:p>
                      <w:p w:rsidR="00CC6E52" w:rsidRPr="00CC6E52" w:rsidRDefault="00CC6E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שהוחרמו</w:t>
                        </w:r>
                      </w:p>
                    </w:tc>
                  </w:tr>
                  <w:tr w:rsidR="00CC6E52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בסעיף 39 -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(1)' לאחר פסקה (ז) תיווסף פסקה זו: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המוסד טבק מיוצר בניגוד להוראות סעיף 3 (4) או המקבלו כאמור ;"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(4), במקום המלים "חמישים פונט" יבואו המלים "אלף לירות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והחרמת הטבק."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לאחר סעיף 47 יווסף סעיף זה:</w:t>
                        </w:r>
                      </w:p>
                    </w:tc>
                  </w:tr>
                  <w:tr w:rsidR="00CC6E52" w:rsidRPr="00CC6E52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4" w:type="pct"/>
                      </w:tcPr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47א. המנהל רשאי להעביר לאחר את סמכויותיו לפי פקודה זו, כולן או</w:t>
                        </w:r>
                      </w:p>
                      <w:p w:rsid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מקצתן, אם דרך כלל ואם לענין מסרים או לאישור מסויים."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C6E52" w:rsidRDefault="00CC6E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</w:t>
                        </w:r>
                      </w:p>
                      <w:p w:rsidR="00CC6E52" w:rsidRPr="00CC6E52" w:rsidRDefault="00CC6E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</w:tr>
                  <w:tr w:rsidR="00CC6E52" w:rsidRPr="00CC6E52">
                    <w:trPr>
                      <w:jc w:val="right"/>
                    </w:trPr>
                    <w:tc>
                      <w:tcPr>
                        <w:tcW w:w="803" w:type="pct"/>
                      </w:tcPr>
                      <w:p w:rsidR="00CC6E52" w:rsidRPr="00CC6E52" w:rsidRDefault="00CC6E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פעולות</w:t>
                        </w:r>
                      </w:p>
                    </w:tc>
                    <w:tc>
                      <w:tcPr>
                        <w:tcW w:w="4197" w:type="pct"/>
                        <w:gridSpan w:val="2"/>
                      </w:tcPr>
                      <w:p w:rsidR="00CC6E52" w:rsidRDefault="00CC6E5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פעולה שנעשתה לפני תחילת תקפו של חוק זה, ושהיתד. נעשית כדין אילו היה חוק</w:t>
                        </w:r>
                      </w:p>
                      <w:p w:rsidR="00CC6E52" w:rsidRPr="00CC6E52" w:rsidRDefault="00CC6E5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בר תוקף, רואים אותה כאילו נעשתה כדין.</w:t>
                        </w:r>
                      </w:p>
                    </w:tc>
                  </w:tr>
                </w:tbl>
                <w:p w:rsidR="00CC6E52" w:rsidRDefault="00CC6E5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E1C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B8CCD5-BF4B-4DC1-B706-60A0E38C8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E1C7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C6E5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2008-04-06T18:31:00Z</dcterms:created>
  <dcterms:modified xsi:type="dcterms:W3CDTF">2008-04-06T18:31:00Z</dcterms:modified>
</cp:coreProperties>
</file>