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36BB" w:rsidRDefault="00DC36BB">
      <w:pPr>
        <w:rPr>
          <w:rtl/>
        </w:rPr>
      </w:pPr>
    </w:p>
    <w:p w:rsidR="00DC36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848" inset="0,0,0,0">
              <w:txbxContent>
                <w:p w:rsidR="00DC36BB" w:rsidRDefault="00DC36BB">
                  <w:r>
                    <w:rPr>
                      <w:rtl/>
                    </w:rPr>
                    <w:t>24                                           ספר החוקים 493                י"א באדר ב' התשכ"ז 23.03.1967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9" o:spid="_x0000_s1026" type="#_x0000_t202" style="position:absolute;left:0;text-align:left;margin-left:92.05pt;margin-top:703.45pt;width:192.05pt;height:50.1pt;z-index:6;mso-wrap-style:none;mso-position-horizontal-relative:page;mso-position-vertical-relative:page" stroked="f">
            <v:textbox style="mso-next-textbox:#_x0000_s9849" inset="0,0,0,0">
              <w:txbxContent>
                <w:p w:rsidR="00DC36BB" w:rsidRDefault="00DC36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50" o:spid="_x0000_s1027" type="#_x0000_t202" style="position:absolute;left:0;text-align:left;margin-left:92.05pt;margin-top:654.5pt;width:377.2pt;height:44.75pt;z-index:5;mso-wrap-style:none;mso-position-horizontal-relative:page;mso-position-vertical-relative:page" stroked="f">
            <v:textbox style="mso-next-textbox:#_x0000_s9850" inset="0,0,0,0">
              <w:txbxContent>
                <w:p w:rsidR="00DC36BB" w:rsidRDefault="00DC36BB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- * נתקבל בכנסת ביום ב' באדר ב' תשכ"ז (14 במרס 1967); הצעת החוק ודברי הסבר פורסמו בה"ח 710, תשכ"ז,</w:t>
                  </w:r>
                </w:p>
                <w:p w:rsidR="00DC36BB" w:rsidRDefault="00DC36B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28.</w:t>
                  </w:r>
                </w:p>
                <w:p w:rsidR="00DC36BB" w:rsidRPr="00DC36BB" w:rsidRDefault="00DC36BB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ס"ה תשי"ח, עמ' 69; תשי''ט, עמ' 146, 158,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1" o:spid="_x0000_s1028" type="#_x0000_t202" style="position:absolute;left:0;text-align:left;margin-left:116.2pt;margin-top:520.1pt;width:97.2pt;height:47.3pt;z-index:4;mso-wrap-style:none;mso-position-horizontal-relative:page;mso-position-vertical-relative:page" stroked="f">
            <v:textbox style="mso-next-textbox:#_x0000_s9851" inset="0,0,0,0">
              <w:txbxContent>
                <w:p w:rsidR="00DC36BB" w:rsidRDefault="00DC36BB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C36BB" w:rsidRDefault="00DC36BB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2" o:spid="_x0000_s1029" type="#_x0000_t202" style="position:absolute;left:0;text-align:left;margin-left:356.35pt;margin-top:556.3pt;width:127.5pt;height:46.55pt;z-index:3;mso-wrap-style:none;mso-position-horizontal-relative:page;mso-position-vertical-relative:page" stroked="f">
            <v:textbox style="mso-next-textbox:#_x0000_s9852" inset="0,0,0,0">
              <w:txbxContent>
                <w:p w:rsidR="00DC36BB" w:rsidRDefault="00DC36BB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C36BB" w:rsidRDefault="00DC36BB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53" o:spid="_x0000_s1030" type="#_x0000_t202" style="position:absolute;left:0;text-align:left;margin-left:82.75pt;margin-top:113.8pt;width:461.35pt;height:371.05pt;z-index:2;mso-wrap-style:none;mso-position-horizontal-relative:page;mso-position-vertical-relative:page" stroked="f">
            <v:textbox style="mso-next-textbox:#_x0000_s9853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409"/>
                    <w:gridCol w:w="1194"/>
                  </w:tblGrid>
                  <w:tr w:rsidR="00DC36BB" w:rsidRPr="00DC36BB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DC36BB" w:rsidRP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בחוק- יסוד: הכנסת1, אחרי סעיף 20 יבוא סעיף זה: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C36BB" w:rsidRP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DC36BB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יצא יושב ראש הכנסת את גבולות המדינה, ימלא סגן ליושב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את מקומו עד שישוב היושב ראש.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הודיע יושב ראש הכנסת לועדת הכנסת או שקבעה ועדת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כי מטעמי בריאות נבצר מיושב ראש הכנסת דרך ארעי למלא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ימלא סגן ליושב ראש את מקומו עד שיודיע יושב ראש הכנסת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הכנסת או עד שתקבע ועדת הכנסת כי לא נבצר עוד ממנו למלא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נתפנתה משרתו של יושב ראש הכנסת - מפני שהתפטר או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או מפני שקבעה ועדת הכנסת כי מטעמי בריאות נבצר ממנו דרך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למלא תפקידו - יכהן סגן ליושב ראש כיושב ראש הכנסת בפועל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שתבחר הכנסת יושב ראש חדש.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הסגן ליושב ראש שיכהן כממלא מקום של יושב ראש הכנסת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כיושב ראש הכנסת בפועל הוא הסגן שנבחר לכך על ידי ועדת הכנסת.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בכהונתו כממלא מקום של יושב ראש הכנסת או כיושב ראש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בפועל יכהן הסגן ליושב ראש בכל כהונה המיועדת ליושב ראש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על פי דין, ימלא כל תפקיד המוטל על יושב ראש הכנסת על פי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וישתמש בכל סמכות הנתונה ליושב ראש הכנסת על פי דין.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הוראות סעיף זה יחולו, בשינויים המחוייבים, גם אם הנסיבות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בסעיפים קטנים (א) (ב) או (ג) לגבי יושב ראש הכנסת נתקיימו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 שמכהן כממלא מקום של יושב ראש הכנסת או כיושב ראש הכנסת</w:t>
                        </w:r>
                      </w:p>
                      <w:p w:rsidR="00DC36BB" w:rsidRP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"ממלא מקום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</w:t>
                        </w:r>
                      </w:p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ויושב ראש</w:t>
                        </w:r>
                      </w:p>
                      <w:p w:rsidR="00DC36BB" w:rsidRP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בפועל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C36BB" w:rsidRDefault="00DC36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C36BB" w:rsidRDefault="00DC36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54" o:spid="_x0000_s1031" type="#_x0000_t202" style="position:absolute;left:0;text-align:left;margin-left:191.05pt;margin-top:82.9pt;width:211.05pt;height:21.4pt;z-index:1;mso-wrap-style:none;mso-position-horizontal-relative:page;mso-position-vertical-relative:page" stroked="f">
            <v:textbox style="mso-next-textbox:#_x0000_s9854" inset="0,0,0,0">
              <w:txbxContent>
                <w:p w:rsidR="00DC36BB" w:rsidRPr="00DC36BB" w:rsidRDefault="00DC36BB">
                  <w:pPr>
                    <w:pStyle w:val="OCRStyle1"/>
                    <w:ind w:left="4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-יסוד: הכנסת (תיקון מס' 4)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36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A40352-E9E1-476B-AE97-69F8B32B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36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