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E651C" w:rsidRDefault="008E651C">
      <w:pPr>
        <w:rPr>
          <w:rtl/>
        </w:rPr>
      </w:pPr>
    </w:p>
    <w:p w:rsidR="008E651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01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016" inset="0,0,0,0">
              <w:txbxContent>
                <w:p w:rsidR="008E651C" w:rsidRDefault="008E651C">
                  <w:r>
                    <w:rPr>
                      <w:rtl/>
                    </w:rPr>
                    <w:t>155                                          ספר החוקים 806                   ט' בניסן התשל"ו 09.04.1976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17" o:spid="_x0000_s1026" type="#_x0000_t202" style="position:absolute;left:0;text-align:left;margin-left:143.45pt;margin-top:670.9pt;width:408.3pt;height:81pt;z-index:6;mso-position-horizontal-relative:page;mso-position-vertical-relative:page" stroked="f">
            <v:textbox style="mso-next-textbox:#_x0000_s10017" inset="0,0,0,0">
              <w:txbxContent>
                <w:p w:rsidR="008E651C" w:rsidRDefault="008E651C">
                  <w:pPr>
                    <w:pStyle w:val="OCRStyle1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באדר ב' תשל"ו (31 במרס 1976); הצעת החוק ודברי הסבר פורסמו בה"ח 1133, תשל"ד,</w:t>
                  </w:r>
                </w:p>
                <w:p w:rsidR="008E651C" w:rsidRDefault="008E651C">
                  <w:pPr>
                    <w:pStyle w:val="OCRStyle1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עמ' 248.</w:t>
                  </w:r>
                </w:p>
                <w:p w:rsidR="008E651C" w:rsidRPr="008E651C" w:rsidRDefault="008E651C">
                  <w:pPr>
                    <w:pStyle w:val="OCRStyle1"/>
                    <w:ind w:left="511"/>
                  </w:pPr>
                  <w:r>
                    <w:rPr>
                      <w:rtl/>
                    </w:rPr>
                    <w:t>1 ס"ח תשכ"ה, עמ' 63; תשכ''ט, עמ' 249; תשל''ג, עמ' 269; תשל"ו, עמ' 98.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18" o:spid="_x0000_s1027" type="#_x0000_t202" style="position:absolute;left:0;text-align:left;margin-left:444pt;margin-top:626.7pt;width:106.7pt;height:43.15pt;z-index:5;mso-position-horizontal-relative:page;mso-position-vertical-relative:page" stroked="f">
            <v:textbox style="mso-next-textbox:#_x0000_s10018" inset="0,0,0,0">
              <w:txbxContent>
                <w:p w:rsidR="008E651C" w:rsidRDefault="008E651C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8E651C" w:rsidRDefault="008E651C">
                  <w:pPr>
                    <w:pStyle w:val="OCRStyle1"/>
                    <w:ind w:left="46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19" o:spid="_x0000_s1028" type="#_x0000_t202" style="position:absolute;left:0;text-align:left;margin-left:168pt;margin-top:586.75pt;width:107.7pt;height:34.85pt;z-index:4;mso-position-horizontal-relative:page;mso-position-vertical-relative:page" stroked="f">
            <v:textbox style="mso-next-textbox:#_x0000_s10019" inset="0,0,0,0">
              <w:txbxContent>
                <w:p w:rsidR="008E651C" w:rsidRDefault="008E651C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8E651C" w:rsidRDefault="008E651C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20" o:spid="_x0000_s1029" type="#_x0000_t202" style="position:absolute;left:0;text-align:left;margin-left:293.15pt;margin-top:590.9pt;width:95.45pt;height:31.7pt;z-index:3;mso-position-horizontal-relative:page;mso-position-vertical-relative:page" stroked="f">
            <v:textbox style="mso-next-textbox:#_x0000_s10020" inset="0,0,0,0">
              <w:txbxContent>
                <w:p w:rsidR="008E651C" w:rsidRDefault="008E651C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8E651C" w:rsidRDefault="008E651C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21" o:spid="_x0000_s1030" type="#_x0000_t202" style="position:absolute;left:0;text-align:left;margin-left:88pt;margin-top:112.7pt;width:460.55pt;height:460.75pt;z-index:2;mso-position-horizontal-relative:page;mso-position-vertical-relative:page" stroked="f">
            <v:textbox style="mso-next-textbox:#_x0000_s1002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8"/>
                    <w:gridCol w:w="5618"/>
                    <w:gridCol w:w="1529"/>
                  </w:tblGrid>
                  <w:tr w:rsidR="008E651C" w:rsidRPr="008E651C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8E651C" w:rsidRPr="008E651C" w:rsidRDefault="008E65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8E651C" w:rsidRDefault="008E651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11 (א) לחוק הירושה, תשכ"ה-1965  1-</w:t>
                        </w:r>
                      </w:p>
                      <w:p w:rsidR="008E651C" w:rsidRDefault="008E65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כרישה, אחרי "כולל את המיטלטלין" יכוא "כולל מכונית נוסעים";</w:t>
                        </w:r>
                      </w:p>
                      <w:p w:rsidR="008E651C" w:rsidRDefault="008E65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פסקאות (4) ו-(5) יבוא:</w:t>
                        </w:r>
                      </w:p>
                      <w:p w:rsidR="008E651C" w:rsidRPr="008E651C" w:rsidRDefault="008E65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באין יורשים כאמור - הכל."</w:t>
                        </w:r>
                      </w:p>
                    </w:tc>
                  </w:tr>
                  <w:tr w:rsidR="008E651C" w:rsidRPr="008E651C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8E651C" w:rsidRPr="008E651C" w:rsidRDefault="008E65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85א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8E651C" w:rsidRPr="008E651C" w:rsidRDefault="008E65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85 לחוק העיקרי יבוא:</w:t>
                        </w:r>
                      </w:p>
                    </w:tc>
                  </w:tr>
                  <w:tr w:rsidR="008E651C" w:rsidRPr="008E651C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8E651C" w:rsidRDefault="008E651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4" w:type="pct"/>
                      </w:tcPr>
                      <w:p w:rsidR="008E651C" w:rsidRDefault="008E65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85א. כספי העזבון שאינם דרושים לצרכי הנהלתו השוטפים, חייב מנהל</w:t>
                        </w:r>
                      </w:p>
                      <w:p w:rsidR="008E651C" w:rsidRDefault="008E65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העזבון להחזיקם או להשקיעם כדרוש לשם שמירת הקרן והבטחת פירות;</w:t>
                        </w:r>
                      </w:p>
                      <w:p w:rsidR="008E651C" w:rsidRDefault="008E65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 רשאי לקבוע בתקנות דרכים להשקעת כספי עזבון, שיהיו</w:t>
                        </w:r>
                      </w:p>
                      <w:p w:rsidR="008E651C" w:rsidRDefault="008E65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על מנהל עזבון."</w:t>
                        </w:r>
                      </w:p>
                    </w:tc>
                    <w:tc>
                      <w:tcPr>
                        <w:tcW w:w="913" w:type="pct"/>
                      </w:tcPr>
                      <w:p w:rsidR="008E651C" w:rsidRPr="008E651C" w:rsidRDefault="008E65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'"השקעת כספים</w:t>
                        </w:r>
                      </w:p>
                    </w:tc>
                  </w:tr>
                  <w:tr w:rsidR="008E651C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8E651C" w:rsidRPr="008E651C" w:rsidRDefault="008E65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115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8E651C" w:rsidRDefault="008E65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115 לחוק העיקרי -</w:t>
                        </w:r>
                      </w:p>
                      <w:p w:rsidR="008E651C" w:rsidRDefault="008E65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סעיף קטן (ג) יסומן (ד) ולפניו יבוא:</w:t>
                        </w:r>
                      </w:p>
                      <w:p w:rsidR="008E651C" w:rsidRDefault="008E65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הוראות סעיפים קטנים (א) ו-(ב) יחולו גם על דירה ששכר</w:t>
                        </w:r>
                      </w:p>
                      <w:p w:rsidR="008E651C" w:rsidRDefault="008E65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המוריש לתקופה העולה על עשרים וחמש שנים וגר כה ערב מותו</w:t>
                        </w:r>
                      </w:p>
                      <w:p w:rsidR="008E651C" w:rsidRDefault="008E65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והשכירות לא נתבטלה במותו; והוא, על אף האמור לענין זה בחוזה</w:t>
                        </w:r>
                      </w:p>
                      <w:p w:rsidR="008E651C" w:rsidRDefault="008E65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השכירות.";</w:t>
                        </w:r>
                      </w:p>
                      <w:p w:rsidR="008E651C" w:rsidRDefault="008E65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(2) בסעיף קטן (ד), אחרי "דירה שהמוריש שכר" יבוא "לתקופה קצרה</w:t>
                        </w:r>
                      </w:p>
                      <w:p w:rsidR="008E651C" w:rsidRDefault="008E65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יותר".</w:t>
                        </w:r>
                      </w:p>
                    </w:tc>
                  </w:tr>
                  <w:tr w:rsidR="008E651C" w:rsidRPr="008E651C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8E651C" w:rsidRPr="008E651C" w:rsidRDefault="008E65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122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8E651C" w:rsidRDefault="008E65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122 לחוק העיקרי, כסוף סעיף קטן (ב) יבוא "בתובענה של אחד היורשים</w:t>
                        </w:r>
                      </w:p>
                      <w:p w:rsidR="008E651C" w:rsidRPr="008E651C" w:rsidRDefault="008E65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נגד אחד היורשים יכול שהאישור יינתן על ידי בית המשפט הדן בתובענה."</w:t>
                        </w:r>
                      </w:p>
                    </w:tc>
                  </w:tr>
                  <w:tr w:rsidR="008E651C" w:rsidRPr="008E651C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8E651C" w:rsidRPr="008E651C" w:rsidRDefault="008E65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140</w:t>
                        </w:r>
                      </w:p>
                    </w:tc>
                    <w:tc>
                      <w:tcPr>
                        <w:tcW w:w="4267" w:type="pct"/>
                        <w:gridSpan w:val="2"/>
                      </w:tcPr>
                      <w:p w:rsidR="008E651C" w:rsidRPr="008E651C" w:rsidRDefault="008E65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140 לחוק העיקרי יבוא;</w:t>
                        </w:r>
                      </w:p>
                    </w:tc>
                  </w:tr>
                  <w:tr w:rsidR="008E651C" w:rsidRPr="008E651C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8E651C" w:rsidRDefault="008E651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4" w:type="pct"/>
                      </w:tcPr>
                      <w:p w:rsidR="008E651C" w:rsidRDefault="008E65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140. (א) צוואה כשרה מבחינת צורתה אם היא כשרה לפי הדין היש-</w:t>
                        </w:r>
                      </w:p>
                      <w:p w:rsidR="008E651C" w:rsidRDefault="008E65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ראלי, לפי דין מקום עשייתה, לפי דין מקום מושבו או מקום מגוריו</w:t>
                        </w:r>
                      </w:p>
                      <w:p w:rsidR="008E651C" w:rsidRDefault="008E65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הרגיל או לפי דין אזרחותו של המצווה בשעת עשייתה או בשעת מותו,</w:t>
                        </w:r>
                      </w:p>
                      <w:p w:rsidR="008E651C" w:rsidRDefault="008E65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ובמידה שהצוואה נוגעת למקרקעין - גם לפי דין מקום הימצאם.</w:t>
                        </w:r>
                      </w:p>
                      <w:p w:rsidR="008E651C" w:rsidRDefault="008E65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החלתו של דין זר לפי סעיף זה יראו את הכשרות</w:t>
                        </w:r>
                      </w:p>
                      <w:p w:rsidR="008E651C" w:rsidRPr="008E651C" w:rsidRDefault="008E65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הדרושה למצווה או לעדי הצוואה כענין שבצורה."</w:t>
                        </w:r>
                      </w:p>
                    </w:tc>
                    <w:tc>
                      <w:tcPr>
                        <w:tcW w:w="913" w:type="pct"/>
                      </w:tcPr>
                      <w:p w:rsidR="008E651C" w:rsidRPr="008E651C" w:rsidRDefault="008E65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''צורת הצוואה</w:t>
                        </w:r>
                      </w:p>
                    </w:tc>
                  </w:tr>
                </w:tbl>
                <w:p w:rsidR="008E651C" w:rsidRDefault="008E651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022" o:spid="_x0000_s1031" type="#_x0000_t202" style="position:absolute;left:0;text-align:left;margin-left:224.45pt;margin-top:79.85pt;width:267.7pt;height:28.7pt;z-index:1;mso-position-horizontal-relative:page;mso-position-vertical-relative:page" stroked="f">
            <v:textbox style="mso-next-textbox:#_x0000_s10022" inset="0,0,0,0">
              <w:txbxContent>
                <w:p w:rsidR="008E651C" w:rsidRPr="008E651C" w:rsidRDefault="008E651C">
                  <w:pPr>
                    <w:pStyle w:val="OCRStyle1"/>
                    <w:ind w:left="28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הירושה (תיקון מס' 4), תשל"ו-1976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E651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992720E-753B-46EB-9FA4-BCEED1C1C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E651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2008-04-06T22:40:00Z</dcterms:created>
  <dcterms:modified xsi:type="dcterms:W3CDTF">2008-04-06T22:40:00Z</dcterms:modified>
</cp:coreProperties>
</file>