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36E83" w:rsidRDefault="00C36E83">
      <w:pPr>
        <w:rPr>
          <w:rtl/>
        </w:rPr>
      </w:pPr>
    </w:p>
    <w:p w:rsidR="00C36E8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4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245" inset="0,0,0,0">
              <w:txbxContent>
                <w:p w:rsidR="00C36E83" w:rsidRDefault="00C36E83">
                  <w:r>
                    <w:rPr>
                      <w:rtl/>
                    </w:rPr>
                    <w:t>114                                          ספר החוקים 452                י"ד באדר ב' התשכ"ה 18.03.1965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46" o:spid="_x0000_s1026" type="#_x0000_t202" style="position:absolute;left:0;text-align:left;margin-left:84.3pt;margin-top:619.05pt;width:397pt;height:117.6pt;z-index:6;mso-position-horizontal-relative:page;mso-position-vertical-relative:page" stroked="f">
            <v:textbox style="mso-next-textbox:#_x0000_s10246" inset="0,0,0,0">
              <w:txbxContent>
                <w:p w:rsidR="00C36E83" w:rsidRDefault="00C36E83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באדר בי תשכיח (9 במרס 1965); הגעת החוק ודברי הסבר פורסמו בח''ח 614, תשכ"ד,</w:t>
                  </w:r>
                </w:p>
                <w:p w:rsidR="00C36E83" w:rsidRDefault="00C36E83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עמ' 222.</w:t>
                  </w:r>
                </w:p>
                <w:p w:rsidR="00C36E83" w:rsidRDefault="00C36E83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1 ס"ח תשכ"ב, עמ' 120.</w:t>
                  </w:r>
                </w:p>
                <w:p w:rsidR="00C36E83" w:rsidRPr="00C36E83" w:rsidRDefault="00C36E83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2 עיר 1936, תוס' 1 מס' 652, עמ' .263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47" o:spid="_x0000_s1027" type="#_x0000_t202" style="position:absolute;left:0;text-align:left;margin-left:116pt;margin-top:454.5pt;width:81.4pt;height:36.25pt;z-index:5;mso-position-horizontal-relative:page;mso-position-vertical-relative:page" stroked="f">
            <v:textbox style="mso-next-textbox:#_x0000_s10247" inset="0,0,0,0">
              <w:txbxContent>
                <w:p w:rsidR="00C36E83" w:rsidRDefault="00C36E83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C36E83" w:rsidRDefault="00C36E83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48" o:spid="_x0000_s1028" type="#_x0000_t202" style="position:absolute;left:0;text-align:left;margin-left:239.75pt;margin-top:457.3pt;width:83.35pt;height:31.7pt;z-index:4;mso-position-horizontal-relative:page;mso-position-vertical-relative:page" stroked="f">
            <v:textbox style="mso-next-textbox:#_x0000_s10248" inset="0,0,0,0">
              <w:txbxContent>
                <w:p w:rsidR="00C36E83" w:rsidRDefault="00C36E83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36E83" w:rsidRDefault="00C36E83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49" o:spid="_x0000_s1029" type="#_x0000_t202" style="position:absolute;left:0;text-align:left;margin-left:351pt;margin-top:482.6pt;width:125.75pt;height:35.25pt;z-index:3;mso-position-horizontal-relative:page;mso-position-vertical-relative:page" stroked="f">
            <v:textbox style="mso-next-textbox:#_x0000_s10249" inset="0,0,0,0">
              <w:txbxContent>
                <w:p w:rsidR="00C36E83" w:rsidRDefault="00C36E83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C36E83" w:rsidRDefault="00C36E83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50" o:spid="_x0000_s1030" type="#_x0000_t202" style="position:absolute;left:0;text-align:left;margin-left:83.3pt;margin-top:98.3pt;width:468.45pt;height:330.05pt;z-index:2;mso-position-horizontal-relative:page;mso-position-vertical-relative:page" stroked="f">
            <v:textbox style="mso-next-textbox:#_x0000_s1025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5"/>
                    <w:gridCol w:w="1163"/>
                    <w:gridCol w:w="1349"/>
                  </w:tblGrid>
                  <w:tr w:rsidR="00C36E83" w:rsidRPr="00C36E83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C36E83" w:rsidRP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הכשרות המשפטית והאפוטרופסות, תשכ"ב-1962 1, אחרי סעיף 13 יבוא:</w:t>
                        </w:r>
                      </w:p>
                    </w:tc>
                    <w:tc>
                      <w:tcPr>
                        <w:tcW w:w="792" w:type="pct"/>
                      </w:tcPr>
                      <w:p w:rsidR="00C36E83" w:rsidRP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13א</w:t>
                        </w:r>
                      </w:p>
                    </w:tc>
                  </w:tr>
                  <w:tr w:rsidR="00C36E83">
                    <w:trPr>
                      <w:jc w:val="right"/>
                    </w:trPr>
                    <w:tc>
                      <w:tcPr>
                        <w:tcW w:w="3525" w:type="pct"/>
                      </w:tcPr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(א) לא תומר דתו של קטין אלא אם שבי הוריו נתבו מראש הסכ-</w:t>
                        </w:r>
                      </w:p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מתם בכתב או שבית המשפט, לפי בקשת אחד ההורים או לפי בקשת</w:t>
                        </w:r>
                      </w:p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אפוטרופסו של הקטין, אישר מראש את המרת הדת.</w:t>
                        </w:r>
                      </w:p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מלאו לקטין 10 שבים, לא תומר דתו אלא אם, בוסף על הסכמת</w:t>
                        </w:r>
                      </w:p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הוריו או אישור בית המשפט לפי סעיף קטן (א), נתן גם הוא מראש</w:t>
                        </w:r>
                      </w:p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הסכמתו בכתב.</w:t>
                        </w:r>
                      </w:p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תומר דתו של קטין אלא בדת של הוריו או של אחד</w:t>
                        </w:r>
                      </w:p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מהוריו.</w:t>
                        </w:r>
                      </w:p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המרת דתו של קטין בניגוד להוראות סעיף זה - אין לה</w:t>
                        </w:r>
                      </w:p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משפטי."</w:t>
                        </w:r>
                      </w:p>
                    </w:tc>
                    <w:tc>
                      <w:tcPr>
                        <w:tcW w:w="683" w:type="pct"/>
                      </w:tcPr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''המרת דתו של</w:t>
                        </w:r>
                      </w:p>
                      <w:p w:rsidR="00C36E83" w:rsidRP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קטין</w:t>
                        </w:r>
                      </w:p>
                    </w:tc>
                    <w:tc>
                      <w:tcPr>
                        <w:tcW w:w="792" w:type="pct"/>
                      </w:tcPr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36E83" w:rsidRPr="00C36E83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C36E83" w:rsidRP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בפקודת החוק הפלילי, 1936 2, אחרי סעיף 188, יבוא:</w:t>
                        </w:r>
                      </w:p>
                    </w:tc>
                    <w:tc>
                      <w:tcPr>
                        <w:tcW w:w="792" w:type="pct"/>
                        <w:vMerge w:val="restart"/>
                      </w:tcPr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 החוק</w:t>
                        </w:r>
                      </w:p>
                      <w:p w:rsidR="00C36E83" w:rsidRP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</w:t>
                        </w:r>
                      </w:p>
                    </w:tc>
                  </w:tr>
                  <w:tr w:rsidR="00C36E83">
                    <w:trPr>
                      <w:jc w:val="right"/>
                    </w:trPr>
                    <w:tc>
                      <w:tcPr>
                        <w:tcW w:w="3525" w:type="pct"/>
                      </w:tcPr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188א.(א) העורך טכס המרת דתו של קטין או עושה פעולה אחרת</w:t>
                        </w:r>
                      </w:p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המביאה לידי המרת דתו של קטין, בניגוד להוראות סעיף 13א לחוק</w:t>
                        </w:r>
                      </w:p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הכשרות המשפטית והאפוטרופסות, תשכ"ב-1962, דינו - מאסר ששה</w:t>
                        </w:r>
                      </w:p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חדשים.</w:t>
                        </w:r>
                      </w:p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המשדל קטין, בפניה ישירה אליו, להמיר דתו, דינו - מאסר</w:t>
                        </w:r>
                      </w:p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חדשים."</w:t>
                        </w:r>
                      </w:p>
                    </w:tc>
                    <w:tc>
                      <w:tcPr>
                        <w:tcW w:w="683" w:type="pct"/>
                      </w:tcPr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"המרת דתו של</w:t>
                        </w:r>
                      </w:p>
                      <w:p w:rsidR="00C36E83" w:rsidRP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קטין</w:t>
                        </w:r>
                      </w:p>
                    </w:tc>
                    <w:tc>
                      <w:tcPr>
                        <w:tcW w:w="792" w:type="pct"/>
                        <w:vMerge/>
                      </w:tcPr>
                      <w:p w:rsidR="00C36E83" w:rsidRDefault="00C36E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36E83" w:rsidRDefault="00C36E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251" o:spid="_x0000_s1031" type="#_x0000_t202" style="position:absolute;left:0;text-align:left;margin-left:104.3pt;margin-top:70.2pt;width:358.8pt;height:24.55pt;z-index:1;mso-position-horizontal-relative:page;mso-position-vertical-relative:page" stroked="f">
            <v:textbox style="mso-next-textbox:#_x0000_s10251" inset="0,0,0,0">
              <w:txbxContent>
                <w:p w:rsidR="00C36E83" w:rsidRPr="00C36E83" w:rsidRDefault="00C36E83">
                  <w:pPr>
                    <w:pStyle w:val="OCRStyle1"/>
                    <w:ind w:left="1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הכשרות המשפטית והאפוטרופסות (תיקון), תשכ"ה-1965*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36E8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50C099-D3F0-4FC5-8333-E78AB9BD8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36E8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2008-04-09T14:31:00Z</dcterms:created>
  <dcterms:modified xsi:type="dcterms:W3CDTF">2008-04-09T14:31:00Z</dcterms:modified>
</cp:coreProperties>
</file>