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2F05" w:rsidRDefault="00E52F05">
      <w:pPr>
        <w:rPr>
          <w:rtl/>
        </w:rPr>
      </w:pPr>
    </w:p>
    <w:p w:rsidR="00E52F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274" inset="0,0,0,0">
              <w:txbxContent>
                <w:p w:rsidR="00A97A0A" w:rsidRDefault="00A97A0A">
                  <w:r>
                    <w:rPr>
                      <w:rtl/>
                    </w:rPr>
                    <w:t>52                                           ספר החוקים 479                     ג' באב התשכ"ו 20.07.1966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5" o:spid="_x0000_s1026" type="#_x0000_t202" style="position:absolute;left:0;text-align:left;margin-left:87.7pt;margin-top:671.8pt;width:387.5pt;height:71.3pt;z-index:3;mso-position-horizontal-relative:page;mso-position-vertical-relative:page" stroked="f">
            <v:textbox style="mso-next-textbox:#_x0000_s10275" inset="0,0,0,0">
              <w:txbxContent>
                <w:p w:rsidR="00A97A0A" w:rsidRDefault="00A97A0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תשכ''ו (13 ביולי 196); הצעת החוק ודברי הסבר פורסמו בה''ח 675, תשכ"ו,</w:t>
                  </w:r>
                </w:p>
                <w:p w:rsidR="00A97A0A" w:rsidRDefault="00A97A0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עמ' 48.</w:t>
                  </w:r>
                </w:p>
                <w:p w:rsidR="00A97A0A" w:rsidRPr="00E52F05" w:rsidRDefault="00A97A0A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ס''ח תשי''ב, עמ'354.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6" o:spid="_x0000_s1027" type="#_x0000_t202" style="position:absolute;left:0;text-align:left;margin-left:93.6pt;margin-top:399.75pt;width:458.95pt;height:268.5pt;z-index:2;mso-position-horizontal-relative:page;mso-position-vertical-relative:page" stroked="f">
            <v:textbox style="mso-next-textbox:#_x0000_s102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2"/>
                    <w:gridCol w:w="1165"/>
                    <w:gridCol w:w="1188"/>
                  </w:tblGrid>
                  <w:tr w:rsidR="00A97A0A" w:rsidRPr="00E52F05">
                    <w:trPr>
                      <w:jc w:val="right"/>
                    </w:trPr>
                    <w:tc>
                      <w:tcPr>
                        <w:tcW w:w="4288" w:type="pct"/>
                        <w:gridSpan w:val="2"/>
                      </w:tcPr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1 לחוק הכניסה לישראל, תשי"ב-11952 (להלן - החוק העיקרי), יבוא:</w:t>
                        </w:r>
                      </w:p>
                    </w:tc>
                    <w:tc>
                      <w:tcPr>
                        <w:tcW w:w="712" w:type="pct"/>
                      </w:tcPr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A97A0A">
                    <w:trPr>
                      <w:jc w:val="right"/>
                    </w:trPr>
                    <w:tc>
                      <w:tcPr>
                        <w:tcW w:w="3590" w:type="pct"/>
                      </w:tcPr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מי שאיננו אזרח ישראלי, תהיה כניסתו לישראל על פי אשרת</w:t>
                        </w:r>
                      </w:p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או על פי אשרה לפי חוק זה.</w:t>
                        </w:r>
                      </w:p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שאיננו אזרח ישראלי או בעל אשרת עולה או תעודת</w:t>
                        </w:r>
                      </w:p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עולה, תהיה ישיבתו בישראל על פי רשיון ישיבה לפי חוק זה."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</w:t>
                        </w:r>
                      </w:p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כלליות</w:t>
                        </w:r>
                      </w:p>
                    </w:tc>
                    <w:tc>
                      <w:tcPr>
                        <w:tcW w:w="712" w:type="pct"/>
                      </w:tcPr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97A0A" w:rsidRPr="00E52F05">
                    <w:trPr>
                      <w:jc w:val="right"/>
                    </w:trPr>
                    <w:tc>
                      <w:tcPr>
                        <w:tcW w:w="4288" w:type="pct"/>
                        <w:gridSpan w:val="2"/>
                      </w:tcPr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2 לחוק העיקרי יסומן כסעיף קטן (א) ואחריו יבוא:</w:t>
                        </w:r>
                      </w:p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אשרה ורשיון לישיבת מעבר או לישיבת ביקור יכול שיינתנו</w:t>
                        </w:r>
                      </w:p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לקבוצת בני-אדם בצוותא."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</w:t>
                        </w:r>
                      </w:p>
                    </w:tc>
                  </w:tr>
                  <w:tr w:rsidR="00A97A0A" w:rsidRPr="00E52F05">
                    <w:trPr>
                      <w:jc w:val="right"/>
                    </w:trPr>
                    <w:tc>
                      <w:tcPr>
                        <w:tcW w:w="4288" w:type="pct"/>
                        <w:gridSpan w:val="2"/>
                      </w:tcPr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7 לחוק העיקרי יבוא:</w:t>
                        </w:r>
                      </w:p>
                    </w:tc>
                    <w:tc>
                      <w:tcPr>
                        <w:tcW w:w="712" w:type="pct"/>
                      </w:tcPr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A97A0A">
                    <w:trPr>
                      <w:jc w:val="right"/>
                    </w:trPr>
                    <w:tc>
                      <w:tcPr>
                        <w:tcW w:w="3590" w:type="pct"/>
                      </w:tcPr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ייכנס אדם לישראל, בין שהוא אזרח ישראלי ובין שאיננו אזרח</w:t>
                        </w:r>
                      </w:p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ישראלי, אלא באחת מתחנות הגבול שקבע שר הפנים בצו שפורסם</w:t>
                        </w:r>
                      </w:p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ולאחר שהתייצב שם לפני קצין בקורת הגבולות והציג לפניו</w:t>
                        </w:r>
                      </w:p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דרכון או תעודת מעבר בני-תוקף: שר הפנים רשאי לפטור אדם מהוראות</w:t>
                        </w:r>
                      </w:p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אם יש נסיבות מיוחדות המצדיקות זאת לדעתו."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A97A0A" w:rsidRPr="00E52F05" w:rsidRDefault="00A97A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"תחנות גבול</w:t>
                        </w:r>
                      </w:p>
                    </w:tc>
                    <w:tc>
                      <w:tcPr>
                        <w:tcW w:w="712" w:type="pct"/>
                      </w:tcPr>
                      <w:p w:rsidR="00A97A0A" w:rsidRDefault="00A97A0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97A0A" w:rsidRDefault="00A97A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77" o:spid="_x0000_s1028" type="#_x0000_t202" style="position:absolute;left:0;text-align:left;margin-left:171.25pt;margin-top:365.3pt;width:246.1pt;height:30.9pt;z-index:1;mso-position-horizontal-relative:page;mso-position-vertical-relative:page" stroked="f">
            <v:textbox style="mso-next-textbox:#_x0000_s10277" inset="0,0,0,0">
              <w:txbxContent>
                <w:p w:rsidR="00A97A0A" w:rsidRPr="00E52F05" w:rsidRDefault="00A97A0A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הכניסה לישראל (תיקון), תשכ"ו-1966 *</w:t>
                  </w:r>
                </w:p>
              </w:txbxContent>
            </v:textbox>
            <w10:wrap anchorx="page" anchory="page"/>
          </v:shape>
        </w:pict>
      </w:r>
    </w:p>
    <w:p w:rsidR="004A7777" w:rsidRDefault="004A7777">
      <w:pPr>
        <w:rPr>
          <w:rtl/>
        </w:rPr>
      </w:pPr>
      <w:r>
        <w:rPr>
          <w:rtl/>
        </w:rPr>
        <w:br w:type="page"/>
      </w:r>
    </w:p>
    <w:p w:rsidR="004A7777" w:rsidRDefault="00000000">
      <w:pPr>
        <w:rPr>
          <w:rtl/>
        </w:rPr>
      </w:pPr>
      <w:r>
        <w:pict>
          <v:shape id="_x0000_s1027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278" inset="0,0,0,0">
              <w:txbxContent>
                <w:p w:rsidR="00A97A0A" w:rsidRDefault="00A97A0A">
                  <w:r>
                    <w:rPr>
                      <w:rtl/>
                    </w:rPr>
                    <w:t>53                                           ספר החוקים 479                     ג' באב התשכ"ו 20.07.1966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9" o:spid="_x0000_s1030" type="#_x0000_t202" style="position:absolute;left:0;text-align:left;margin-left:384.45pt;margin-top:708.4pt;width:165.15pt;height:24.95pt;z-index:9;mso-position-horizontal-relative:page;mso-position-vertical-relative:page" stroked="f">
            <v:textbox style="mso-next-textbox:#_x0000_s10279" inset="0,0,0,0">
              <w:txbxContent>
                <w:p w:rsidR="00A97A0A" w:rsidRDefault="00A97A0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280" o:spid="_x0000_s1031" type="#_x0000_t202" style="position:absolute;left:0;text-align:left;margin-left:177.7pt;margin-top:371.8pt;width:116.25pt;height:35.25pt;z-index:8;mso-position-horizontal-relative:page;mso-position-vertical-relative:page" stroked="f">
            <v:textbox style="mso-next-textbox:#_x0000_s10280" inset="0,0,0,0">
              <w:txbxContent>
                <w:p w:rsidR="00A97A0A" w:rsidRDefault="00A97A0A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A97A0A" w:rsidRDefault="00A97A0A">
                  <w:pPr>
                    <w:pStyle w:val="OCRStyle2"/>
                    <w:ind w:left="7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1" o:spid="_x0000_s1032" type="#_x0000_t202" style="position:absolute;left:0;text-align:left;margin-left:316.3pt;margin-top:364.9pt;width:76.65pt;height:46.55pt;z-index:7;mso-position-horizontal-relative:page;mso-position-vertical-relative:page" stroked="f">
            <v:textbox style="mso-next-textbox:#_x0000_s10281" inset="0,0,0,0">
              <w:txbxContent>
                <w:p w:rsidR="00A97A0A" w:rsidRDefault="00A97A0A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97A0A" w:rsidRDefault="00A97A0A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2" o:spid="_x0000_s1033" type="#_x0000_t202" style="position:absolute;left:0;text-align:left;margin-left:435.1pt;margin-top:400.35pt;width:117pt;height:48.1pt;z-index:6;mso-position-horizontal-relative:page;mso-position-vertical-relative:page" stroked="f">
            <v:textbox style="mso-next-textbox:#_x0000_s10282" inset="0,0,0,0">
              <w:txbxContent>
                <w:p w:rsidR="00A97A0A" w:rsidRDefault="00A97A0A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A97A0A" w:rsidRDefault="00A97A0A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A97A0A" w:rsidRDefault="00A97A0A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3" o:spid="_x0000_s1034" type="#_x0000_t202" style="position:absolute;left:0;text-align:left;margin-left:101.1pt;margin-top:74.05pt;width:448.45pt;height:267.7pt;z-index:5;mso-position-horizontal-relative:page;mso-position-vertical-relative:page" stroked="f">
            <v:textbox style="mso-next-textbox:#_x0000_s1028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9"/>
                    <w:gridCol w:w="6986"/>
                  </w:tblGrid>
                  <w:tr w:rsidR="00A97A0A" w:rsidRPr="004A777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A97A0A" w:rsidRPr="004A7777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14 לחוק העיקרי, במקום פסקה (4) יבוא: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אגרות בעד מתן אשרות ורשיונות לפי חוק זה לסוגיהם</w:t>
                        </w:r>
                      </w:p>
                      <w:p w:rsidR="00A97A0A" w:rsidRPr="004A7777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והפטור מהן."</w:t>
                        </w:r>
                      </w:p>
                    </w:tc>
                  </w:tr>
                  <w:tr w:rsidR="00A97A0A" w:rsidRPr="004A777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A97A0A" w:rsidRPr="004A7777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17 לחוק העיקרי, במקום סעיף קטן (א) יבוא: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הוראות חוק זה לא יחולו על כניסתו לישראל של מי שבא על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אשרה דיפלומטית או אשרת שירות, ולא על ישיבתו בישראל של אדם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כאמור שיש בידו דרכון חוץ דיפלומטי או דרכון שירות חוץ בני-תוקף;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הפנים, בצו, לפטור מתחולת הוראות חוק זה בדבר כניסה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וישיבה בה, סוגים נוספים של נציגי מדינות חוץ בעלי מעמד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דיפלומטי או קונסולרי או ממלאי שליחות מיוחדת, בהתאם לאמנות או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להסכמים בינלאומיים שישראל צד להם או בהתאם לנוהגים בינלאומיים</w:t>
                        </w:r>
                      </w:p>
                      <w:p w:rsidR="00A97A0A" w:rsidRPr="004A7777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שישראל מכירה בהם, ובלבד שאותה מדינה נוהגת כך כלפי ישראל."</w:t>
                        </w:r>
                      </w:p>
                    </w:tc>
                  </w:tr>
                  <w:tr w:rsidR="00A97A0A" w:rsidRPr="004A7777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A97A0A" w:rsidRPr="004A7777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18 (ב) לחוק העיקרי, בסופו, יבוא:</w:t>
                        </w:r>
                      </w:p>
                      <w:p w:rsidR="00A97A0A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"אין בהוראה זו כדי למנוע את שר הפנים מליתן רשיון לישיבת קבע</w:t>
                        </w:r>
                      </w:p>
                      <w:p w:rsidR="00A97A0A" w:rsidRPr="004A7777" w:rsidRDefault="00A97A0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שנכנס כאמור, ומשניתן לו הרשיון, יחולו עליו הוראות חוק זה."</w:t>
                        </w:r>
                      </w:p>
                    </w:tc>
                  </w:tr>
                </w:tbl>
                <w:p w:rsidR="00A97A0A" w:rsidRDefault="00A97A0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97A0A" w:rsidRDefault="00A97A0A">
      <w:pPr>
        <w:rPr>
          <w:rtl/>
        </w:rPr>
      </w:pPr>
      <w:r>
        <w:rPr>
          <w:rtl/>
        </w:rPr>
        <w:br w:type="page"/>
      </w:r>
    </w:p>
    <w:p w:rsidR="00A97A0A" w:rsidRDefault="00000000">
      <w:pPr>
        <w:rPr>
          <w:rtl/>
        </w:rPr>
      </w:pPr>
      <w:r>
        <w:pict>
          <v:shape id="_x0000_s10284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284" inset="0,0,0,0">
              <w:txbxContent>
                <w:p w:rsidR="00A97A0A" w:rsidRDefault="00A97A0A">
                  <w:r>
                    <w:rPr>
                      <w:rtl/>
                    </w:rPr>
                    <w:t>54                                           ספר החוקים 479                     ג' באב התשכ"ו 20.07.1966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5" o:spid="_x0000_s1036" type="#_x0000_t202" style="position:absolute;left:0;text-align:left;margin-left:84.35pt;margin-top:705.45pt;width:159.4pt;height:37.8pt;z-index:11;mso-position-horizontal-relative:page;mso-position-vertical-relative:page" stroked="f">
            <v:textbox style="mso-next-textbox:#_x0000_s10285" inset="0,0,0,0">
              <w:txbxContent>
                <w:p w:rsidR="00A97A0A" w:rsidRDefault="00A97A0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2F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5F8446-A2EE-45FC-981C-C5891D94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2F0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A777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97A0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2008-04-06T20:39:00Z</dcterms:created>
  <dcterms:modified xsi:type="dcterms:W3CDTF">2008-04-06T20:39:00Z</dcterms:modified>
</cp:coreProperties>
</file>