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12BD" w:rsidRDefault="00FB12BD">
      <w:pPr>
        <w:rPr>
          <w:rtl/>
        </w:rPr>
      </w:pPr>
    </w:p>
    <w:p w:rsidR="00FB12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341" inset="0,0,0,0">
              <w:txbxContent>
                <w:p w:rsidR="00FB12BD" w:rsidRDefault="00FB12BD">
                  <w:r>
                    <w:rPr>
                      <w:rtl/>
                    </w:rPr>
                    <w:t>106                                          ספר החוקים 127                  כ"ו בתמוז התשי"ג 09.07.1953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2" o:spid="_x0000_s1026" type="#_x0000_t202" style="position:absolute;left:0;text-align:left;margin-left:65pt;margin-top:670.45pt;width:402.35pt;height:127.3pt;z-index:6;mso-position-horizontal-relative:page;mso-position-vertical-relative:page" stroked="f">
            <v:textbox style="mso-next-textbox:#_x0000_s10342" inset="0,0,0,0">
              <w:txbxContent>
                <w:p w:rsidR="00FB12BD" w:rsidRDefault="00FB12B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תשי"ג ג 29 ביוני 1953) : הצעת החוק ודברי הכבר נתפרסמו</w:t>
                  </w:r>
                </w:p>
                <w:p w:rsidR="00FB12BD" w:rsidRDefault="00FB12BD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105 מיום כ"ה בסיון תשי"ג (18.6.53, עמ' 206.</w:t>
                  </w:r>
                </w:p>
                <w:p w:rsidR="00FB12BD" w:rsidRDefault="00FB12BD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260 מיום י"ט בניסן תשי"ב (14.4.52), עמ' 754.</w:t>
                  </w:r>
                </w:p>
                <w:p w:rsidR="00FB12BD" w:rsidRDefault="00FB12BD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כרד ב/ פרק קל"ז, עמ' 1374</w:t>
                  </w:r>
                </w:p>
                <w:p w:rsidR="00FB12BD" w:rsidRDefault="00FB12B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כ"ג בתמוז תשי"ג (6 ביילי 1933) ; הצעת החוק ודברי הסבר נתפרסמו</w:t>
                  </w:r>
                </w:p>
                <w:p w:rsidR="00FB12BD" w:rsidRDefault="00FB12BD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170 מיום י' בתמוז תשי"ג (23.6.53), עמ' 248.</w:t>
                  </w:r>
                </w:p>
                <w:p w:rsidR="00FB12BD" w:rsidRPr="00FB12BD" w:rsidRDefault="00FB12BD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26 מיום בכ"ד באלול תש"ט (18.9.49) עמ' 287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3" o:spid="_x0000_s1027" type="#_x0000_t202" style="position:absolute;left:0;text-align:left;margin-left:97.9pt;margin-top:577pt;width:123.75pt;height:49.5pt;z-index:5;mso-position-horizontal-relative:page;mso-position-vertical-relative:page" stroked="f">
            <v:textbox style="mso-next-textbox:#_x0000_s10343" inset="0,0,0,0">
              <w:txbxContent>
                <w:p w:rsidR="00FB12BD" w:rsidRDefault="00FB12B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ב ן- צ י ו ן דינור</w:t>
                  </w:r>
                </w:p>
                <w:p w:rsidR="00FB12BD" w:rsidRDefault="00FB12BD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4" o:spid="_x0000_s1028" type="#_x0000_t202" style="position:absolute;left:0;text-align:left;margin-left:253.7pt;margin-top:578.8pt;width:111.85pt;height:52.25pt;z-index:4;mso-position-horizontal-relative:page;mso-position-vertical-relative:page" stroked="f">
            <v:textbox style="mso-next-textbox:#_x0000_s10344" inset="0,0,0,0">
              <w:txbxContent>
                <w:p w:rsidR="00FB12BD" w:rsidRDefault="00FB12B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 ון</w:t>
                  </w:r>
                </w:p>
                <w:p w:rsidR="00FB12BD" w:rsidRDefault="00FB12BD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5" o:spid="_x0000_s1029" type="#_x0000_t202" style="position:absolute;left:0;text-align:left;margin-left:371.15pt;margin-top:614.45pt;width:98pt;height:43.15pt;z-index:3;mso-position-horizontal-relative:page;mso-position-vertical-relative:page" stroked="f">
            <v:textbox style="mso-next-textbox:#_x0000_s10345" inset="0,0,0,0">
              <w:txbxContent>
                <w:p w:rsidR="00FB12BD" w:rsidRDefault="00FB12B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FB12BD" w:rsidRDefault="00FB12B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6" o:spid="_x0000_s1030" type="#_x0000_t202" style="position:absolute;left:0;text-align:left;margin-left:78.7pt;margin-top:488.9pt;width:485.9pt;height:84.35pt;z-index:2;mso-position-horizontal-relative:page;mso-position-vertical-relative:page" stroked="f">
            <v:textbox style="mso-next-textbox:#_x0000_s1034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3"/>
                    <w:gridCol w:w="1322"/>
                  </w:tblGrid>
                  <w:tr w:rsidR="00FB12BD" w:rsidRPr="00FB12B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FB12BD" w:rsidRDefault="00FB12B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על אף האמור בפסקה 2 לסעיף 3 (ב) של חוק לימוד חובה' תש"ט-1949 1 מותר</w:t>
                        </w:r>
                      </w:p>
                      <w:p w:rsidR="00FB12BD" w:rsidRDefault="00FB12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לגבי שנת הלימוד תשי"ד' לשם מילוי חובת הרישום שנקבעה, באותו</w:t>
                        </w:r>
                      </w:p>
                      <w:p w:rsidR="00FB12BD" w:rsidRPr="00FB12BD" w:rsidRDefault="00FB12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סעיף, מועד מאוחר מיום א' בתמוז תשי"ג.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FB12BD" w:rsidRDefault="00FB12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רישום</w:t>
                        </w:r>
                      </w:p>
                      <w:p w:rsidR="00FB12BD" w:rsidRPr="00FB12BD" w:rsidRDefault="00FB12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 חשי"ד</w:t>
                        </w:r>
                      </w:p>
                    </w:tc>
                  </w:tr>
                  <w:tr w:rsidR="00FB12BD" w:rsidRPr="00FB12B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FB12BD" w:rsidRPr="00FB12BD" w:rsidRDefault="00FB12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אי בתמוז תשי"ג (14 ביוני 1953).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FB12BD" w:rsidRPr="00FB12BD" w:rsidRDefault="00FB12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חוקה</w:t>
                        </w:r>
                      </w:p>
                    </w:tc>
                  </w:tr>
                </w:tbl>
                <w:p w:rsidR="00FB12BD" w:rsidRDefault="00FB12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47" o:spid="_x0000_s1031" type="#_x0000_t202" style="position:absolute;left:0;text-align:left;margin-left:131.95pt;margin-top:463.15pt;width:313.45pt;height:21.2pt;z-index:1;mso-position-horizontal-relative:page;mso-position-vertical-relative:page" stroked="f">
            <v:textbox style="mso-next-textbox:#_x0000_s10347" inset="0,0,0,0">
              <w:txbxContent>
                <w:p w:rsidR="00FB12BD" w:rsidRPr="00FB12BD" w:rsidRDefault="00FB12BD">
                  <w:pPr>
                    <w:pStyle w:val="OCRStyle1"/>
                    <w:ind w:left="55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לימוד חובה (הוראת שעה), תשי"ג-1953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12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654A22-0E11-4110-981F-5B21A3D9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12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2008-04-06T18:27:00Z</dcterms:created>
  <dcterms:modified xsi:type="dcterms:W3CDTF">2008-04-06T18:27:00Z</dcterms:modified>
</cp:coreProperties>
</file>