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1A3F" w:rsidRDefault="00AC1A3F">
      <w:pPr>
        <w:rPr>
          <w:rtl/>
        </w:rPr>
      </w:pPr>
    </w:p>
    <w:p w:rsidR="00AC1A3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9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0794" inset="0,0,0,0">
              <w:txbxContent>
                <w:p w:rsidR="00DB037A" w:rsidRDefault="00DB037A">
                  <w:r>
                    <w:rPr>
                      <w:rtl/>
                    </w:rPr>
                    <w:t>38                                           ספר החוקים 755                   כ"ו בטבת התשל"ה 09.01.1975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5" o:spid="_x0000_s1026" type="#_x0000_t202" style="position:absolute;left:0;text-align:left;margin-left:88.9pt;margin-top:728.4pt;width:188.7pt;height:22.55pt;z-index:3;mso-position-horizontal-relative:page;mso-position-vertical-relative:page" stroked="f">
            <v:textbox style="mso-next-textbox:#_x0000_s10795" inset="0,0,0,0">
              <w:txbxContent>
                <w:p w:rsidR="00DB037A" w:rsidRPr="00AC1A3F" w:rsidRDefault="00DB037A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סטר החוקים 755, כ''ו בטבת תשל''ח, 9.1.1975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6" o:spid="_x0000_s1027" type="#_x0000_t202" style="position:absolute;left:0;text-align:left;margin-left:86.35pt;margin-top:110.25pt;width:470.25pt;height:611.6pt;z-index:2;mso-position-horizontal-relative:page;mso-position-vertical-relative:page" stroked="f">
            <v:textbox style="mso-next-textbox:#_x0000_s107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212"/>
                  </w:tblGrid>
                  <w:tr w:rsidR="00DB037A" w:rsidRPr="00AC1A3F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שר הבטחון רשאי להכריז כי שירות הוא שירות חירום לענין חוק זה.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שירות שהוכרז כאמור יהיה שירות חירום מן היום שבקבע לכך בהכרזת שר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ועד היום שקבע לכך בהכרזה או בהודעה על ביטולה.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הכרזה לפי סעיף זה יכול שתהיה לשירות פלוני או לשירות ביחידה פלונית או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פלוני.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הכרזה שניתנה על-פי סעיף קטן (א) תובא מאת שר הבטחון, בהקדם ככל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 אחרי הינתנה, לפני ועדת החוץ והבטחון של הכנסת; הועדה רשאית לאשר את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ההכרזה, בשינויים או בלי שינויים, או לא לאשרה או להביאה לפני הכנסת; תקפה של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יפקע בתום ארבעה עשר יום לאחר הינתנה, זולת אם אישרה אותה הועדה או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לפני תום המועד האמור, וכפי שאישרה. #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חירום</w:t>
                        </w:r>
                      </w:p>
                    </w:tc>
                  </w:tr>
                  <w:tr w:rsidR="00DB037A" w:rsidRPr="00AC1A3F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נקבע בחוזה - ובכלל זה שטר חליפין ושטר חוב - מועד לעשיית פעולה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והאדם שחייב או רשאי לעשותה שירת שירות חירום באותו מועד או תוך שלושים הימים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כן, יראו את המועד כמוארך עד תום שלושים יום לאחר ששוחרר האדם משירות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החירום או לאחר שחדל השירות מהיות שירות חירום, הכל לפי המוקדם.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נקבעה תקופה לעשיית פעולה שהיא נמשכת לפי טיבה, יחולו הוראות סעיף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על מועד תחילתה של אותה תקופה.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ההארכה לפי סעיף זה תחול גם לגבי מועד שנקבע -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בחיקוק או על פיו;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 דין או בהחלטה אחרת של בית משפט, של בית דין או של גוף 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או אדם אחרים בעלי סמכויות שיפוטיות או מעין-שיפוטיות על פי דין. 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הוארך לפי סעיף זה המועד לקיומו של חיוב שנקבע בחוזה - ובכלל זה שטר /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חליפין ושטר חוב - תחול ההארכה גם לגבי -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שערב לחיוב או מי שהתחייבותו נועדה להבטיח את קיומו של החיוב,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לשפות או לפצות אדם על אי-קיומו של החיוב;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כן-זוגו של החייב האחראי לחיוב יחד עמו.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לא יחולו על מועד לפעולה לפי חוזה שנכרת בזמן שהאדם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או הרשאי לעשותה היה בשירות חירום, למעט תשלום שהיה מובטח, או שהתחייבו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להבטיחו, במשכנתה לשם רכישת זכויות בדירת מגורים לחייב או לבני ביתו, או תשלום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הנובע משכירת דירה כאמור.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 מכוח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DB037A" w:rsidRPr="00AC1A3F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בקבע בחוזה מועד למסירת החזקה בדירת מגורים, רשאי בית המשפט, לבקשת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החייב, להאריך את המועד, אם ראה שמן הצדק לעשות כן נוכח נסיבות הקשורות, במישרין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בעקיפין, בהיות החייב או אדם אחר בשירות חירום, ורשאי בית המשפט לקבוע תנאים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וליתן הוראות אחרות לענין ביצוע החוזה, לרבות הארכה של ערבות או של חיוב לשיפוי</w:t>
                        </w:r>
                      </w:p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חיוב כדומה לכך, שנועד להבטיח מסירה במועד של ההחזקה באותה דירה או לשפות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לפצות אדם על אי-מסירה במועד של ההחזקה באותה דירה.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הארבה מכוח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</w:tr>
                  <w:tr w:rsidR="00DB037A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נתקבל בכנסת ביום י"ז בטבת תשל"ה (31 בדצמבר 1974); הצעת החוק ודברי הסבר פורסמו בה"ח 1126 ,תשל"ד,</w:t>
                        </w:r>
                      </w:p>
                      <w:p w:rsidR="00DB037A" w:rsidRPr="00AC1A3F" w:rsidRDefault="00DB037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 214.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DB037A" w:rsidRDefault="00DB037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B037A" w:rsidRDefault="00DB037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797" o:spid="_x0000_s1028" type="#_x0000_t202" style="position:absolute;left:0;text-align:left;margin-left:180pt;margin-top:88.45pt;width:210.45pt;height:21.8pt;z-index:1;mso-position-horizontal-relative:page;mso-position-vertical-relative:page" stroked="f">
            <v:textbox style="mso-next-textbox:#_x0000_s10797" inset="0,0,0,0">
              <w:txbxContent>
                <w:p w:rsidR="00DB037A" w:rsidRPr="00AC1A3F" w:rsidRDefault="00DB037A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הארכת מועדים, תשל"ה-1974 *</w:t>
                  </w:r>
                </w:p>
              </w:txbxContent>
            </v:textbox>
            <w10:wrap anchorx="page" anchory="page"/>
          </v:shape>
        </w:pict>
      </w:r>
    </w:p>
    <w:p w:rsidR="00DD7E85" w:rsidRDefault="00DD7E85">
      <w:pPr>
        <w:rPr>
          <w:rtl/>
        </w:rPr>
      </w:pPr>
      <w:r>
        <w:rPr>
          <w:rtl/>
        </w:rPr>
        <w:br w:type="page"/>
      </w:r>
    </w:p>
    <w:p w:rsidR="00DD7E85" w:rsidRDefault="00000000">
      <w:pPr>
        <w:rPr>
          <w:rtl/>
        </w:rPr>
      </w:pPr>
      <w:r>
        <w:pict>
          <v:shape id="_x0000_s1079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0798" inset="0,0,0,0">
              <w:txbxContent>
                <w:p w:rsidR="00DB037A" w:rsidRDefault="00DB037A">
                  <w:r>
                    <w:rPr>
                      <w:rtl/>
                    </w:rPr>
                    <w:t>39                                           ספר החוקים 755                   כ"ו בטבת התשל"ה 09.01.1975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799" o:spid="_x0000_s1030" type="#_x0000_t202" style="position:absolute;left:0;text-align:left;margin-left:345.1pt;margin-top:675.75pt;width:206.3pt;height:75.05pt;z-index:6;mso-position-horizontal-relative:page;mso-position-vertical-relative:page" stroked="f">
            <v:textbox style="mso-next-textbox:#_x0000_s10799" inset="0,0,0,0">
              <w:txbxContent>
                <w:p w:rsidR="00DB037A" w:rsidRDefault="00DB037A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1 ס"ה תשכ"ז, עמ' 112.</w:t>
                  </w:r>
                </w:p>
                <w:p w:rsidR="00DB037A" w:rsidRPr="00DD7E85" w:rsidRDefault="00DB037A">
                  <w:pPr>
                    <w:pStyle w:val="OCRStyle2"/>
                    <w:ind w:left="461"/>
                  </w:pPr>
                  <w:r>
                    <w:rPr>
                      <w:rtl/>
                    </w:rPr>
                    <w:t>2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0" o:spid="_x0000_s1031" type="#_x0000_t202" style="position:absolute;left:0;text-align:left;margin-left:92.65pt;margin-top:83.3pt;width:463.7pt;height:589.85pt;z-index:5;mso-position-horizontal-relative:page;mso-position-vertical-relative:page" stroked="f">
            <v:textbox style="mso-next-textbox:#_x0000_s1080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175"/>
                  </w:tblGrid>
                  <w:tr w:rsidR="00DB037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צד להליך כאמור בסעיף קטן (א) רשאי לבקש מבית המשפט לחזור ולעיין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כהחלטה אם נשתנו הנסיבות שהיו קיימות כשעת מתן ההחלטה או נתגלו עובדות שלא היו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בית המשפט.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החלטה לפי סעיף זה ניתנת לערעור; הערעור יידון בפני שופט אחד,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באות להוסיף על הוראות סעיף 2 ולא לגרוע מהן.</w:t>
                        </w:r>
                      </w:p>
                    </w:tc>
                  </w:tr>
                  <w:tr w:rsidR="00DB037A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הארכה נופפת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מנות תקנות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תשלומים ש מועד פרעונם הוארך מלוח סעיף 2, רשאי שר האוצר, בהתייעצות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הבטחון ובאישור ועדת הכספים של הכנסת, לקבוע כתקנות הסדרים לפרעונם,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ובהם חלוקתם לשיעורים ותשלום ריבית בעד תקופת הארכה נוספת.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יכול שיהיו לגבי תשלומים דרך כלל או לגבי סוגים של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או של מקרים, ויכול שיסמיכו בית משפט, בית דין או ראש ההוצאה לפועל לתת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סעד שנקבע בהן.</w:t>
                        </w:r>
                      </w:p>
                    </w:tc>
                  </w:tr>
                  <w:tr w:rsidR="00DB037A" w:rsidRPr="00DD7E85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תשלום שמועד פרעונו הוארך מכוח סעיפים 2 או 4 ונקבע שהוא נושא ריבית, לא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שיעור הריבית בתקופת ההארכה על השיעור שחל על התקופה עד למועד הפרעון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המקורי, ואם נקבע כאמור שיעור ריבית שאינו קצוב - לא יעלה על השיעור שקבע לכך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האוצר, בהתייעצות עם שר הבטחון ובאישור ועדת הכספים של הכנסת, בצו; צו כאמור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שיהיה כללי או לסוגי תשלומים.</w:t>
                        </w:r>
                      </w:p>
                    </w:tc>
                  </w:tr>
                  <w:tr w:rsidR="00DB037A" w:rsidRPr="00DD7E85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רשיונות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רשיון שניתן על-פי חיקוק וכיום שעמד תקפו לפקוע או תוך שלושים הימים שלפני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שירת בעל הרשיון שירות חירום, יוארך תקפו עד תום ששים"יום לאחר ששוחרר בעלו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החירום או לאחר שחדל השירות מהיות שירות חירום, לפי המוקדם.</w:t>
                        </w:r>
                      </w:p>
                    </w:tc>
                  </w:tr>
                  <w:tr w:rsidR="00DB037A" w:rsidRPr="00DD7E85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שבויינו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ושאירי נופלים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7, (א) לגבי מי שנפל בשבי האויב תהיה הארכת המועד לפי סעיפים 2 ו-6 עד תום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תשעים יום לאחר שחזר מן השבי, והוא אף אם חדל שירותו לפני כן מהיות שירות חירום.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נפטר החייב בהיותו בשירות חירום, תהיה ההארכה לפי סעיף 2 (ד) (2) למשך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יום מיום פטירתו של החייב או מהיום שבו ניתן אישור הפטירה לפי חוק רישום פטירות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חיילים שנספו במערכה, תשכ"ז-11967, הכל לפי המאוחר.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ההארכה לפי חוק זה תחול אף על עזבון של מי שנפטר בהיותו בשירות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חירום, למשך 90 יום מיום פטירתו של החייב או מהיום שבו ניתן אישור הפטירה לפי חוק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 רישום-פטירות חיילים שנספו במערכה, תשכ"ז-ל7196, הכל לפי המאוחר.</w:t>
                        </w:r>
                      </w:p>
                    </w:tc>
                  </w:tr>
                  <w:tr w:rsidR="00DB037A" w:rsidRPr="00DD7E85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שירות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מי שחדל להיות בשירות חירום ותוך שלושים יום שירת שירות מילואים,יארו את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שירותו, לענין חוק זה למעט סעיף 2 (ה), כאילו היה שירות חירום רצוף.</w:t>
                        </w:r>
                      </w:p>
                    </w:tc>
                  </w:tr>
                  <w:tr w:rsidR="00DB037A" w:rsidRPr="00DD7E85">
                    <w:trPr>
                      <w:jc w:val="right"/>
                    </w:trPr>
                    <w:tc>
                      <w:tcPr>
                        <w:tcW w:w="745" w:type="pct"/>
                      </w:tcPr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תאגיד</w:t>
                        </w:r>
                      </w:p>
                    </w:tc>
                    <w:tc>
                      <w:tcPr>
                        <w:tcW w:w="4255" w:type="pct"/>
                      </w:tcPr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הוראות חוק זה יחולו גם על שותפות ועל חברת מעטים כמשמעותה בסעיף 76</w:t>
                        </w:r>
                      </w:p>
                      <w:p w:rsidR="00DB037A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 2, אם השליטה בחכרה או ב-%50 לפחות מנכסי השותפות היא</w:t>
                        </w:r>
                      </w:p>
                      <w:p w:rsidR="00DB037A" w:rsidRPr="00DD7E85" w:rsidRDefault="00DB037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מי שמשרת שירות חירום.</w:t>
                        </w:r>
                      </w:p>
                    </w:tc>
                  </w:tr>
                </w:tbl>
                <w:p w:rsidR="00DB037A" w:rsidRDefault="00DB037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B037A" w:rsidRDefault="00DB037A">
      <w:pPr>
        <w:rPr>
          <w:rtl/>
        </w:rPr>
      </w:pPr>
      <w:r>
        <w:rPr>
          <w:rtl/>
        </w:rPr>
        <w:br w:type="page"/>
      </w:r>
    </w:p>
    <w:p w:rsidR="00DB037A" w:rsidRDefault="00000000">
      <w:pPr>
        <w:rPr>
          <w:rtl/>
        </w:rPr>
      </w:pPr>
      <w:r>
        <w:pict>
          <v:shape id="_x0000_s1080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0801" inset="0,0,0,0">
              <w:txbxContent>
                <w:p w:rsidR="00DB037A" w:rsidRDefault="00DB037A">
                  <w:r>
                    <w:rPr>
                      <w:rtl/>
                    </w:rPr>
                    <w:t>40                                           ספר החוקים 755                   כ"ו בטבת התשל"ה 09.01.1975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2" o:spid="_x0000_s1033" type="#_x0000_t202" style="position:absolute;left:0;text-align:left;margin-left:391.4pt;margin-top:394.4pt;width:102.45pt;height:24pt;z-index:12;mso-position-horizontal-relative:page;mso-position-vertical-relative:page" stroked="f">
            <v:textbox style="mso-next-textbox:#_x0000_s10802" inset="0,0,0,0">
              <w:txbxContent>
                <w:p w:rsidR="00DB037A" w:rsidRPr="00DB037A" w:rsidRDefault="00DB037A">
                  <w:pPr>
                    <w:pStyle w:val="OCRStyle3"/>
                    <w:ind w:left="322"/>
                  </w:pPr>
                  <w:r>
                    <w:rPr>
                      <w:rtl/>
                    </w:rPr>
                    <w:t>3 ס"ת תשי''ז, עמ' 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3" o:spid="_x0000_s1034" type="#_x0000_t202" style="position:absolute;left:0;text-align:left;margin-left:128.45pt;margin-top:315.2pt;width:100.6pt;height:33.25pt;z-index:11;mso-position-horizontal-relative:page;mso-position-vertical-relative:page" stroked="f">
            <v:textbox style="mso-next-textbox:#_x0000_s10803" inset="0,0,0,0">
              <w:txbxContent>
                <w:p w:rsidR="00DB037A" w:rsidRDefault="00DB037A">
                  <w:pPr>
                    <w:pStyle w:val="OCRStyle3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DB037A" w:rsidRDefault="00DB037A">
                  <w:pPr>
                    <w:pStyle w:val="OCRStyle3"/>
                    <w:ind w:left="3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4" o:spid="_x0000_s1035" type="#_x0000_t202" style="position:absolute;left:0;text-align:left;margin-left:249.9pt;margin-top:315.2pt;width:94.25pt;height:35.1pt;z-index:10;mso-position-horizontal-relative:page;mso-position-vertical-relative:page" stroked="f">
            <v:textbox style="mso-next-textbox:#_x0000_s10804" inset="0,0,0,0">
              <w:txbxContent>
                <w:p w:rsidR="00DB037A" w:rsidRDefault="00DB037A">
                  <w:pPr>
                    <w:pStyle w:val="OCRStyle3"/>
                    <w:ind w:left="23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B037A" w:rsidRDefault="00DB037A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5" o:spid="_x0000_s1036" type="#_x0000_t202" style="position:absolute;left:0;text-align:left;margin-left:379.8pt;margin-top:345.3pt;width:112.45pt;height:34.05pt;z-index:9;mso-position-horizontal-relative:page;mso-position-vertical-relative:page" stroked="f">
            <v:textbox style="mso-next-textbox:#_x0000_s10805" inset="0,0,0,0">
              <w:txbxContent>
                <w:p w:rsidR="00DB037A" w:rsidRDefault="00DB037A">
                  <w:pPr>
                    <w:pStyle w:val="OCRStyle3"/>
                    <w:ind w:left="6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B037A" w:rsidRDefault="00DB037A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806" o:spid="_x0000_s1037" type="#_x0000_t202" style="position:absolute;left:0;text-align:left;margin-left:110.75pt;margin-top:71.25pt;width:453pt;height:233.9pt;z-index:8;mso-position-horizontal-relative:page;mso-position-vertical-relative:page" stroked="f">
            <v:textbox style="mso-next-textbox:#_x0000_s1080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114"/>
                  </w:tblGrid>
                  <w:tr w:rsidR="00DB037A" w:rsidRPr="00DB037A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הוראות חוק זה לא יחולו על מועד לתשלום מזונות, שנקבע בחוזה, בפסק דין</w:t>
                        </w:r>
                      </w:p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בהחלטה אחרת.</w:t>
                        </w:r>
                      </w:p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בהתייעצות עם השר הנוגע בדבר, לקבוע בתקנות חיקוקים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שהוראות חוק זה לא יחולו על מועדים שנקבעו בהם או על פיהם.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לתחולת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DB037A" w:rsidRPr="00DB037A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חוק זה בא להוסיף על כל דין אחר ולא לגרוע ממנו.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DB037A" w:rsidRPr="00DB037A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המשפטים ממונה על ביצוע חוק זה והוא רשאי להתקין תקנות סדרי דין בהליכים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  <w:tr w:rsidR="00DB037A" w:rsidRPr="00DB037A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חוק הארכת מועדים, תשי"ז-1957  -3 בטל.</w:t>
                        </w:r>
                      </w:p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תקנות, הכרזות והודעות שהותקנו, פורסמו או ניתנו מכות החוק האמור יעמדו</w:t>
                        </w:r>
                      </w:p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בתקפן עד לביטולן או לשינוין מכוח חוק זה, ויראו אותן, בשינויים המחוייבים, כאילו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ניתנו מכוח חוק זה.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והוראות</w:t>
                        </w:r>
                      </w:p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  <w:tr w:rsidR="00DB037A" w:rsidRPr="00DB037A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תחילתו של חוק זה ביום י"ח בטבת תשל"ה (1 בינואר 1975).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DB037A" w:rsidRPr="00DB037A" w:rsidRDefault="00DB037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B037A" w:rsidRDefault="00DB037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1A3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D29218-9658-4D2F-9CB0-D0E38CE0E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1A3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D7E8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B037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2008-04-06T22:16:00Z</dcterms:created>
  <dcterms:modified xsi:type="dcterms:W3CDTF">2008-04-06T22:16:00Z</dcterms:modified>
</cp:coreProperties>
</file>