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72AD3" w:rsidRDefault="00672AD3">
      <w:pPr>
        <w:rPr>
          <w:rtl/>
        </w:rPr>
      </w:pPr>
    </w:p>
    <w:p w:rsidR="00672AD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2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0825" inset="0,0,0,0">
              <w:txbxContent>
                <w:p w:rsidR="00672AD3" w:rsidRDefault="00672AD3">
                  <w:r>
                    <w:rPr>
                      <w:rtl/>
                    </w:rPr>
                    <w:t>33                                           ספר החוקים 548                   י"ח בטבת התשכ"ט 08.01.1969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26" o:spid="_x0000_s1026" type="#_x0000_t202" style="position:absolute;left:0;text-align:left;margin-left:157.3pt;margin-top:265.4pt;width:384.9pt;height:54.25pt;z-index:6;mso-position-horizontal-relative:page;mso-position-vertical-relative:page" stroked="f">
            <v:textbox style="mso-next-textbox:#_x0000_s10826" inset="0,0,0,0">
              <w:txbxContent>
                <w:p w:rsidR="00672AD3" w:rsidRDefault="00672AD3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 בטבת תשכ"ט (30 בדצמבר 1968); הצעת החוק ודברי הסבר פורסמו בה"ח 786, תשכ"ח,</w:t>
                  </w:r>
                </w:p>
                <w:p w:rsidR="00672AD3" w:rsidRDefault="00672AD3">
                  <w:pPr>
                    <w:pStyle w:val="OCRStyle1"/>
                    <w:ind w:left="26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353.</w:t>
                  </w:r>
                </w:p>
                <w:p w:rsidR="00672AD3" w:rsidRPr="00672AD3" w:rsidRDefault="00672AD3">
                  <w:pPr>
                    <w:pStyle w:val="OCRStyle1"/>
                    <w:ind w:left="14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תשי"ג, עמ' 168; תשכ"ג, עמ' 65.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27" o:spid="_x0000_s1027" type="#_x0000_t202" style="position:absolute;left:0;text-align:left;margin-left:426.8pt;margin-top:197.5pt;width:124.75pt;height:41.2pt;z-index:5;mso-position-horizontal-relative:page;mso-position-vertical-relative:page" stroked="f">
            <v:textbox style="mso-next-textbox:#_x0000_s10827" inset="0,0,0,0">
              <w:txbxContent>
                <w:p w:rsidR="00672AD3" w:rsidRDefault="00672AD3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672AD3" w:rsidRDefault="00672AD3">
                  <w:pPr>
                    <w:pStyle w:val="OCRStyle1"/>
                    <w:ind w:left="562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28" o:spid="_x0000_s1028" type="#_x0000_t202" style="position:absolute;left:0;text-align:left;margin-left:163.45pt;margin-top:156.1pt;width:135.05pt;height:40.4pt;z-index:4;mso-position-horizontal-relative:page;mso-position-vertical-relative:page" stroked="f">
            <v:textbox style="mso-next-textbox:#_x0000_s10828" inset="0,0,0,0">
              <w:txbxContent>
                <w:p w:rsidR="00672AD3" w:rsidRDefault="00672AD3">
                  <w:pPr>
                    <w:pStyle w:val="OCRStyle1"/>
                    <w:ind w:left="619"/>
                    <w:rPr>
                      <w:rtl/>
                    </w:rPr>
                  </w:pPr>
                  <w:r>
                    <w:rPr>
                      <w:rtl/>
                    </w:rPr>
                    <w:t>זלמן ארן</w:t>
                  </w:r>
                </w:p>
                <w:p w:rsidR="00672AD3" w:rsidRDefault="00672AD3">
                  <w:pPr>
                    <w:pStyle w:val="OCRStyle1"/>
                    <w:ind w:left="353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29" o:spid="_x0000_s1029" type="#_x0000_t202" style="position:absolute;left:0;text-align:left;margin-left:313.15pt;margin-top:158.7pt;width:98.2pt;height:37.05pt;z-index:3;mso-position-horizontal-relative:page;mso-position-vertical-relative:page" stroked="f">
            <v:textbox style="mso-next-textbox:#_x0000_s10829" inset="0,0,0,0">
              <w:txbxContent>
                <w:p w:rsidR="00672AD3" w:rsidRDefault="00672AD3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672AD3" w:rsidRDefault="00672AD3">
                  <w:pPr>
                    <w:pStyle w:val="OCRStyle1"/>
                    <w:ind w:left="45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30" o:spid="_x0000_s1030" type="#_x0000_t202" style="position:absolute;left:0;text-align:left;margin-left:110.8pt;margin-top:106.2pt;width:444.3pt;height:39.6pt;z-index:2;mso-position-horizontal-relative:page;mso-position-vertical-relative:page" stroked="f">
            <v:textbox style="mso-next-textbox:#_x0000_s10830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97"/>
                    <w:gridCol w:w="6981"/>
                  </w:tblGrid>
                  <w:tr w:rsidR="00672AD3" w:rsidRPr="00672AD3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672AD3" w:rsidRPr="00672AD3" w:rsidRDefault="00672AD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</w:t>
                        </w:r>
                      </w:p>
                    </w:tc>
                    <w:tc>
                      <w:tcPr>
                        <w:tcW w:w="4321" w:type="pct"/>
                      </w:tcPr>
                      <w:p w:rsidR="00672AD3" w:rsidRDefault="00672AD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כסעיף 4 לחוק המוסד העליון ללשון העברית, תשי"ג-19531, בסעיף קטן גא), אחרי</w:t>
                        </w:r>
                      </w:p>
                      <w:p w:rsidR="00672AD3" w:rsidRPr="00672AD3" w:rsidRDefault="00672A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"ולא יותר מעשרים ושלושה" יבוא "חברים בני שבעים וחמש ומעלה לא יבואו במבין זה".</w:t>
                        </w:r>
                      </w:p>
                    </w:tc>
                  </w:tr>
                </w:tbl>
                <w:p w:rsidR="00672AD3" w:rsidRDefault="00672AD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831" o:spid="_x0000_s1031" type="#_x0000_t202" style="position:absolute;left:0;text-align:left;margin-left:161.7pt;margin-top:70.8pt;width:383.15pt;height:31.1pt;z-index:1;mso-position-horizontal-relative:page;mso-position-vertical-relative:page" stroked="f">
            <v:textbox style="mso-next-textbox:#_x0000_s10831" inset="0,0,0,0">
              <w:txbxContent>
                <w:p w:rsidR="00672AD3" w:rsidRPr="00672AD3" w:rsidRDefault="00672AD3">
                  <w:pPr>
                    <w:pStyle w:val="OCRStyle1"/>
                    <w:ind w:left="19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המוסד העליון ללשון העברית (תיקון מס' 2), תשכ"ט-1968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72AD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72AD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F12EC04-233B-487F-8BE4-04B005B6C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72AD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2008-04-06T21:03:00Z</dcterms:created>
  <dcterms:modified xsi:type="dcterms:W3CDTF">2008-04-06T21:03:00Z</dcterms:modified>
</cp:coreProperties>
</file>