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196B" w:rsidRDefault="0056196B">
      <w:pPr>
        <w:rPr>
          <w:rtl/>
        </w:rPr>
      </w:pPr>
    </w:p>
    <w:p w:rsidR="005619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865" inset="0,0,0,0">
              <w:txbxContent>
                <w:p w:rsidR="007311DE" w:rsidRDefault="007311DE">
                  <w:r>
                    <w:rPr>
                      <w:rtl/>
                    </w:rPr>
                    <w:t>164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66" o:spid="_x0000_s1026" type="#_x0000_t202" style="position:absolute;left:0;text-align:left;margin-left:62.05pt;margin-top:107.65pt;width:510.65pt;height:622.7pt;z-index:3;mso-position-horizontal-relative:page;mso-position-vertical-relative:page" stroked="f">
            <v:textbox style="mso-next-textbox:#_x0000_s10866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2"/>
                    <w:gridCol w:w="1599"/>
                    <w:gridCol w:w="1534"/>
                  </w:tblGrid>
                  <w:tr w:rsidR="007311DE" w:rsidRPr="0056196B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7311DE" w:rsidRDefault="007311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 לפקודת המועצות המקומיות' 1911   1 (להלן - הפקודה), בסעיף קטן (1),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בסופו, יווספו המלים: "או הנראים דרושים כדי להטיל הוראותיה של פקודה זו על אותה</w:t>
                        </w:r>
                      </w:p>
                      <w:p w:rsidR="007311DE" w:rsidRPr="0056196B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מקומית לכשתורכב".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7311DE" w:rsidRPr="0056196B" w:rsidRDefault="007311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  2.</w:t>
                        </w:r>
                      </w:p>
                    </w:tc>
                  </w:tr>
                  <w:tr w:rsidR="007311DE" w:rsidRPr="0056196B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7311DE" w:rsidRPr="0056196B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2 לפקודה יווספו סעיפים אלה:</w:t>
                        </w:r>
                      </w:p>
                    </w:tc>
                    <w:tc>
                      <w:tcPr>
                        <w:tcW w:w="826" w:type="pct"/>
                      </w:tcPr>
                      <w:p w:rsidR="007311DE" w:rsidRDefault="007311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סעיבים</w:t>
                        </w:r>
                      </w:p>
                      <w:p w:rsidR="007311DE" w:rsidRPr="0056196B" w:rsidRDefault="007311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2א ע- 2ד</w:t>
                        </w:r>
                      </w:p>
                    </w:tc>
                  </w:tr>
                  <w:tr w:rsidR="007311DE">
                    <w:trPr>
                      <w:jc w:val="right"/>
                    </w:trPr>
                    <w:tc>
                      <w:tcPr>
                        <w:tcW w:w="3313" w:type="pct"/>
                      </w:tcPr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הכריז שר הפנים מכוח סעיף 2 (1) כי כפר או קבוצת כפרים או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יתנהלו על ידי מועצה מקומית, וערב תחילת ההכרזה היתה קיימת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אזור' כולו או מקצתו' עיריה אחת, יחולו הוראות אלה: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המועצה הראשונה תה-ה מורכבת ממי שהיו ערב ההכרזה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מועצת העיריה;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חוקי העזר, התקנות האחרות, לוח השומה' התקציב, הרשיונות,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ההיתרים והמסמכים האחרים שהותקנו או ניתנו כדין על ידי העיריה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רשות מרשויותיה, יעמדו בתקפם, בשינויים המחוייבים לפי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עד שיפקעו או ישונו על פי האמור בהם או על פי כל חיקוק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עד שהמועצה המקומית או רשות מרשויותיה יבטלום או ישנום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כל חיקוק;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המועצה המקומית תהא חליפתה של העיריה, הן לזכויותיה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והן לחובותיה ולהתחייבויותיה והן למעמדה בכל ענין אחר, ובין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השאר - לענין ארנונות, אגרות, היטלים, דמי השתתפות ותשלומי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אחרים שהוטלו כדין על ידי העיריה וטרם נגבו;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הליך שהיה תלוי ועומד ערב תחילת ההכרזה לפני העיריה,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רשות מרשויותיה, או לפני בית דין שהוקם על ידי העירייה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שאזור שיפוטו נקבע באופן הכולל את תחום העיריה' יוסיפו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בו ויכריעו בו כאילו המשיכה העיריה בקיומה;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שערב תחילת ההכרזה היה רשאי להגיש תוך זמן קצוב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או ערעור בפני העיריה או רשות מרשויותיה' או בפני בית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כאמור בפסקה (4), או לבקש מהם סעד כיוצא באלה, רשאי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 לפני אותם המוסדות והם ידונו ויכריעו בהם כאילו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המשיכה העיריה בקיומה;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רשאי שר הפנים לתר. הוראות בכל ענין אחר הנוגע לשינויים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הנובעים מהקמת המועצה המקומית ורשויותיה במקום העיריה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ורשויותיה, וכן הוראות משלימות כדי להבטיח את ביצוען של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זה, והוראות אלה יעמדו בתקפן עד שיבוטלו או ישונו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המועצה המקומית מכוח סמכות באותו ענין לפי כל חיקוק.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במקום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עיריה</w:t>
                        </w:r>
                      </w:p>
                    </w:tc>
                    <w:tc>
                      <w:tcPr>
                        <w:tcW w:w="826" w:type="pct"/>
                      </w:tcPr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311DE">
                    <w:trPr>
                      <w:jc w:val="right"/>
                    </w:trPr>
                    <w:tc>
                      <w:tcPr>
                        <w:tcW w:w="3313" w:type="pct"/>
                      </w:tcPr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הכריז שר הפנים, מכוח סעיף 2 (1) כי כפר או קבוצת כפרים או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יתנהלו על ידי מועצה מקומית' וערב תחילת ההכרזה היו קיימות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אזור, כולו או מקצתו, יותר מרשות מקומית אחת, הן עיריה והן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מקומית (להלן - רשויות קודמות) - יחולו הוראות אלה: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הקמת מועצה 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במקום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מספר</w:t>
                        </w:r>
                      </w:p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</w:t>
                        </w:r>
                      </w:p>
                    </w:tc>
                    <w:tc>
                      <w:tcPr>
                        <w:tcW w:w="826" w:type="pct"/>
                      </w:tcPr>
                      <w:p w:rsidR="007311DE" w:rsidRDefault="007311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311DE" w:rsidRDefault="007311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67" o:spid="_x0000_s1027" type="#_x0000_t202" style="position:absolute;left:0;text-align:left;margin-left:65.85pt;margin-top:736.9pt;width:401.55pt;height:75.85pt;z-index:2;mso-position-horizontal-relative:page;mso-position-vertical-relative:page" stroked="f">
            <v:textbox style="mso-next-textbox:#_x0000_s10867" inset="0,0,0,0">
              <w:txbxContent>
                <w:p w:rsidR="007311DE" w:rsidRDefault="007311DE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תש"ז (29 ביולי 1957); הצעת החוק ודברי הסבר נתפרסמו בה"ח 307,  תשי"ז</w:t>
                  </w:r>
                </w:p>
                <w:p w:rsidR="007311DE" w:rsidRDefault="007311DE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248.</w:t>
                  </w:r>
                </w:p>
                <w:p w:rsidR="007311DE" w:rsidRPr="0056196B" w:rsidRDefault="007311DE">
                  <w:pPr>
                    <w:pStyle w:val="OCRStyle1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עייר 1011' תוס' 1 מס' 1154  עמ' 119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68" o:spid="_x0000_s1028" type="#_x0000_t202" style="position:absolute;left:0;text-align:left;margin-left:112.95pt;margin-top:75.4pt;width:335pt;height:28.7pt;z-index:1;mso-position-horizontal-relative:page;mso-position-vertical-relative:page" stroked="f">
            <v:textbox style="mso-next-textbox:#_x0000_s10868" inset="0,0,0,0">
              <w:txbxContent>
                <w:p w:rsidR="007311DE" w:rsidRPr="0056196B" w:rsidRDefault="007311DE">
                  <w:pPr>
                    <w:pStyle w:val="OCRStyle1"/>
                    <w:ind w:left="3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המועצות המקומיות, תשי"ז-1957 *</w:t>
                  </w:r>
                </w:p>
              </w:txbxContent>
            </v:textbox>
            <w10:wrap anchorx="page" anchory="page"/>
          </v:shape>
        </w:pict>
      </w:r>
    </w:p>
    <w:p w:rsidR="001E3ECD" w:rsidRDefault="001E3ECD">
      <w:pPr>
        <w:rPr>
          <w:rtl/>
        </w:rPr>
      </w:pPr>
      <w:r>
        <w:rPr>
          <w:rtl/>
        </w:rPr>
        <w:br w:type="page"/>
      </w:r>
    </w:p>
    <w:p w:rsidR="001E3ECD" w:rsidRDefault="00000000">
      <w:pPr>
        <w:rPr>
          <w:rtl/>
        </w:rPr>
      </w:pPr>
      <w:r>
        <w:pict>
          <v:shape id="_x0000_s1086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869" inset="0,0,0,0">
              <w:txbxContent>
                <w:p w:rsidR="007311DE" w:rsidRDefault="007311DE">
                  <w:r>
                    <w:rPr>
                      <w:rtl/>
                    </w:rPr>
                    <w:t>165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70" o:spid="_x0000_s1030" type="#_x0000_t202" style="position:absolute;left:0;text-align:left;margin-left:373.2pt;margin-top:779.6pt;width:205.5pt;height:38.8pt;z-index:6;mso-position-horizontal-relative:page;mso-position-vertical-relative:page" stroked="f">
            <v:textbox style="mso-next-textbox:#_x0000_s10870" inset="0,0,0,0">
              <w:txbxContent>
                <w:p w:rsidR="007311DE" w:rsidRDefault="007311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871" o:spid="_x0000_s1031" type="#_x0000_t202" style="position:absolute;left:0;text-align:left;margin-left:141.95pt;margin-top:71.75pt;width:430.25pt;height:696.75pt;z-index:5;mso-position-horizontal-relative:page;mso-position-vertical-relative:page" stroked="f">
            <v:textbox style="mso-next-textbox:#_x0000_s10871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25"/>
                    <w:gridCol w:w="1597"/>
                  </w:tblGrid>
                  <w:tr w:rsidR="007311DE" w:rsidRPr="001E3ECD">
                    <w:trPr>
                      <w:jc w:val="right"/>
                    </w:trPr>
                    <w:tc>
                      <w:tcPr>
                        <w:tcW w:w="3979" w:type="pct"/>
                      </w:tcPr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לוח השומה של כל אחת מהרשויות הקודמות שנערך כדין,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הרשיונות. ההיתרים והמסמכים האחרים כיוצא באלה שניתנו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על ידי רשות קודמת או רשות מרשויותיה יעמדו בתקפם עד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שיפקעו או ישונו על פי האמור בהם או על פי כל חיקוק או עד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שהמועצה המקומית או רשות מרשויותיה יבטלום או ישנום מכוח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חיקוק;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הפנים רשאי ליתן ההוראות הדרושות, לפי- דעתו, כדי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את רציפותו של השלטון המקומי באותו אזור, ובין השאר -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לקיים ולתאם, במידה שיקבע בהוראות, את תקפם של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העזר' התקנות והתקציב של כל אחת מהרשויות הקוד-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שהותקנו או אושרו כדין;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לקבוע את הרשות אשר תדון בהמשך ההליכים שהיו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 ועומדים, ערב תחילת ההכרזה, לפני רשות קודמת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רשות מרשויותיה או לפני בית דין שהוקם על ידי רשות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 או שאזור שיפוטו נקבע באופן הכולל את תהום הרשות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הקודמת, וכן לקבוע דרך הגשתם וקבלתם של עררים, ערעו-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או כיוצא באלה שאדם היה רשאי להגישם ערב תחילת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ההכרזה, לרשות של רשות קודמת ולהאריך את המועדים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להגשתם;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להכריז על המועצה המקומית בחליפתה של רשות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קודמת, הן לזכויותיה והן לחובותיה ולהתחייבויותיה והן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למעמדה לכל ענין אחר' ובין השאר לענין ארנונות, אגרות,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היטלים, דמי השתתפות ותשלומי חובה אחרים שהוטלו כדין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רשות קודמת וטרם נגבו, הכל במידה שיקבע השר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בהוראה;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אלה יעמדו בתקפן עד שיבוטלו או ישונו על ידי המועצה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מכוח סמכותה באותו ענין לפי כל חיקוק.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2ג. הוראות סעיף 2ב יחולו' בשינויים המחוייבים לפי הענין, על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תחומה של מועצה מקומית על ידי צירוף אזור שהיה, כולו או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כלול ערב ההכרזה באזור עיריה או מועצה מקומית.</w:t>
                        </w:r>
                      </w:p>
                    </w:tc>
                    <w:tc>
                      <w:tcPr>
                        <w:tcW w:w="1021" w:type="pct"/>
                      </w:tcPr>
                      <w:p w:rsidR="007311DE" w:rsidRDefault="007311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הרחבת תהומה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מועצה</w:t>
                        </w:r>
                      </w:p>
                      <w:p w:rsidR="007311DE" w:rsidRPr="001E3ECD" w:rsidRDefault="007311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</w:t>
                        </w:r>
                      </w:p>
                    </w:tc>
                  </w:tr>
                  <w:tr w:rsidR="007311DE" w:rsidRPr="001E3ECD">
                    <w:trPr>
                      <w:jc w:val="right"/>
                    </w:trPr>
                    <w:tc>
                      <w:tcPr>
                        <w:tcW w:w="3979" w:type="pct"/>
                      </w:tcPr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2ד. (1) נקבע בצי לפי סעיף 2 או על פיו, כי הבחירות למועצה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יתנהלו לפי פנקס בוחרים וכי תהיה זכות ערר, בדבר רישום או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אי-רישום בפנקס הבוחרים, לפני ועדת בחירות, בין שועדת הבחירות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לדון בעצמה בערר ובין שהיא רשאית להעבירו לדיון לועדת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משנה, יהיה ערעור על החלטת ועדת הבהירות או ועדת המשנה לפני בית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המחוזי, והוא ידון בו בהרכב של שופט אחד או יותר כפי שיקבע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המשפט, הכל בתנאים ובדרך שנקבעו בתוספת השניה לפקודה זו,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פסק-דין של בית המשפט המחוזי בערעור לפי סעיף זה -</w:t>
                        </w:r>
                      </w:p>
                      <w:p w:rsidR="007311DE" w:rsidRDefault="007311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אחריו ולא כלום."</w:t>
                        </w:r>
                      </w:p>
                    </w:tc>
                    <w:tc>
                      <w:tcPr>
                        <w:tcW w:w="1021" w:type="pct"/>
                      </w:tcPr>
                      <w:p w:rsidR="007311DE" w:rsidRDefault="007311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7311DE" w:rsidRPr="001E3ECD" w:rsidRDefault="007311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בוחרים</w:t>
                        </w:r>
                      </w:p>
                    </w:tc>
                  </w:tr>
                </w:tbl>
                <w:p w:rsidR="007311DE" w:rsidRDefault="007311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03097" w:rsidRDefault="00503097">
      <w:pPr>
        <w:rPr>
          <w:rtl/>
        </w:rPr>
      </w:pPr>
      <w:r>
        <w:rPr>
          <w:rtl/>
        </w:rPr>
        <w:br w:type="page"/>
      </w:r>
    </w:p>
    <w:p w:rsidR="00503097" w:rsidRDefault="00000000">
      <w:pPr>
        <w:rPr>
          <w:rtl/>
        </w:rPr>
      </w:pPr>
      <w:r>
        <w:pict>
          <v:shape id="_x0000_s10872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0872" inset="0,0,0,0">
              <w:txbxContent>
                <w:p w:rsidR="007311DE" w:rsidRDefault="007311DE">
                  <w:r>
                    <w:rPr>
                      <w:rtl/>
                    </w:rPr>
                    <w:t>166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73" o:spid="_x0000_s1033" type="#_x0000_t202" style="position:absolute;left:0;text-align:left;margin-left:67.6pt;margin-top:779.35pt;width:184.15pt;height:35.05pt;z-index:11;mso-position-horizontal-relative:page;mso-position-vertical-relative:page" stroked="f">
            <v:textbox style="mso-next-textbox:#_x0000_s10873" inset="0,0,0,0">
              <w:txbxContent>
                <w:p w:rsidR="007311DE" w:rsidRDefault="007311D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874" o:spid="_x0000_s1034" type="#_x0000_t202" style="position:absolute;left:0;text-align:left;margin-left:66.6pt;margin-top:591.45pt;width:411.85pt;height:180.4pt;z-index:10;mso-position-horizontal-relative:page;mso-position-vertical-relative:page" stroked="f">
            <v:textbox style="mso-next-textbox:#_x0000_s10874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6"/>
                    <w:gridCol w:w="1331"/>
                  </w:tblGrid>
                  <w:tr w:rsidR="007311DE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בעל דין בערר לפני ועדת הבחירות או ועדת משנה שלה הרואה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עצמו מקופח על ידי החלטה סופית שלהן, רשאי לערער עליה לפני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שבאזור שיפוטו נמצא תחום המועצה.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רשאי לערער</w:t>
                        </w:r>
                      </w:p>
                    </w:tc>
                  </w:tr>
                  <w:tr w:rsidR="007311DE" w:rsidRPr="00503097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הערעור יוגש תוך עשרה ימים מיום החלטת ועדת הבחירות או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המשנה, אם ניתנה במעמדו של המערער או תוך עשרה ימים מהיום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הודעה של ועדת הבחירות או של ועדת המשנה על החלטתה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שנקבעה בצו לפי סעיף 2 - אם ניתנה שלא בפניו, אלא שמותר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ערעור גם לפני מסירת ההודעה.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להגשת</w:t>
                        </w:r>
                      </w:p>
                      <w:p w:rsidR="007311DE" w:rsidRPr="00503097" w:rsidRDefault="007311D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הערעור</w:t>
                        </w:r>
                      </w:p>
                    </w:tc>
                  </w:tr>
                  <w:tr w:rsidR="007311DE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7311DE" w:rsidRDefault="007311D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ועדת הבחירות תהא משיבה בערעור מלבד כל בעל דין אחר של</w:t>
                        </w:r>
                      </w:p>
                      <w:p w:rsidR="007311DE" w:rsidRPr="00503097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המערער.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311DE" w:rsidRDefault="007311D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875" o:spid="_x0000_s1035" type="#_x0000_t202" style="position:absolute;left:0;text-align:left;margin-left:218.5pt;margin-top:546.1pt;width:117.4pt;height:38pt;z-index:9;mso-position-horizontal-relative:page;mso-position-vertical-relative:page" stroked="f">
            <v:textbox style="mso-next-textbox:#_x0000_s10875" inset="0,0,0,0">
              <w:txbxContent>
                <w:p w:rsidR="007311DE" w:rsidRDefault="007311DE">
                  <w:pPr>
                    <w:pStyle w:val="OCRStyle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"תוספת שניה</w:t>
                  </w:r>
                </w:p>
                <w:p w:rsidR="007311DE" w:rsidRPr="00503097" w:rsidRDefault="007311DE">
                  <w:pPr>
                    <w:pStyle w:val="OCRStyle3"/>
                    <w:ind w:left="626"/>
                  </w:pPr>
                  <w:r>
                    <w:rPr>
                      <w:rtl/>
                    </w:rPr>
                    <w:t>(סעיף 2ד)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76" o:spid="_x0000_s1036" type="#_x0000_t202" style="position:absolute;left:0;text-align:left;margin-left:72.15pt;margin-top:64.2pt;width:495pt;height:473.6pt;z-index:8;mso-position-horizontal-relative:page;mso-position-vertical-relative:page" stroked="f">
            <v:textbox style="mso-next-textbox:#_x0000_s1087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6"/>
                    <w:gridCol w:w="1264"/>
                  </w:tblGrid>
                  <w:tr w:rsidR="007311DE" w:rsidRPr="00503097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לפקודה. אחרי סעיף קטן (2) ,יבואר סעיפים קטנים אלה: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נקבע בצו לפי סעיף 2 או על פיו, כי השומה של ארנונות או של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חובה אחרים תיעשה בעריכת לוח שוניה על ידי ועדת שומה,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תהיה זכות ערר לפני ועדת עררים על החלטות ועדת השומה' יהיה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החלטת ועדת העררים לפני בית המשפט המחוזי והוא ידון בו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בשופט יחיד, הכל בתנאים ובדרך שנקבעו בתוספת השלישית לפקודה זו.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(2כ) פסק דין של בית המשפט המחוזי בערעור לפי סעיף זה-אין אחריו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כלום."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311DE" w:rsidRPr="00503097" w:rsidRDefault="007311D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ר.</w:t>
                        </w:r>
                      </w:p>
                    </w:tc>
                  </w:tr>
                  <w:tr w:rsidR="007311DE" w:rsidRPr="00503097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7311DE" w:rsidRPr="00503097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9 לפקודה -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311DE" w:rsidRPr="00503097" w:rsidRDefault="007311D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7311DE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(2) יבוא סעיף קטן זה: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בחוק עזר כאמור רשאית המועצה לקבוע קנסות על העובר עליו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יעלו על חמש מאות לירות לכל עבירה, ובעבירה נמשכת - על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נוסף של עשרים לירות בעד כל יום שבו נמשכת העבירה לאחר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ככתב מטעם נשיא המועצה או הממונה על המחוז בדבר העבירה,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 חיוב בדין; לא נקבע עונש בחוק העזר יהיה דינו של העובר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קנס שלא יעלה על חמישים לירות לכל עב-רה, ובעבירה נמשכת -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נוסף שלא יעלה על חמש לירות בעד כל יום שבו נמשכת העבירה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הודעה או חיוב בדין כאמור.";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של הטעיף יבוא סעיף קטן זה: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הטילה מועצה מקומית כחוק עזר חובת השתתפות בהוצאות עבודה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רשאית או חייבת לבצעה מכוח פקודה זו או מכוח חיקוק אחר,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לקבוע באותו חוק עזר שחובת ההשתתפות תחול גם לגבי</w:t>
                        </w:r>
                      </w:p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שבוצעו על ידי המועצה, מכוח הרשאה או חובה כאמור, בתוך</w:t>
                        </w:r>
                      </w:p>
                      <w:p w:rsidR="007311DE" w:rsidRPr="00503097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הכספיים שבה התחיל תקפו של חוק העזר."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311DE" w:rsidRPr="00503097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7311DE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13 לפקודה, במקום "בתוספת" יבוא "בתוספת הראשונה".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311DE" w:rsidRPr="00503097" w:rsidRDefault="007311D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7311DE" w:rsidRPr="00503097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7311DE" w:rsidRPr="00503097" w:rsidRDefault="007311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התוספת לפקודה תיקרא "תוספת ראשונה" ואחריה יבואו תוספות אלה: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311DE" w:rsidRPr="00503097" w:rsidRDefault="007311D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תוספות</w:t>
                        </w:r>
                      </w:p>
                    </w:tc>
                  </w:tr>
                </w:tbl>
                <w:p w:rsidR="007311DE" w:rsidRDefault="007311D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270E9" w:rsidRDefault="007270E9">
      <w:pPr>
        <w:rPr>
          <w:rtl/>
        </w:rPr>
      </w:pPr>
      <w:r>
        <w:rPr>
          <w:rtl/>
        </w:rPr>
        <w:br w:type="page"/>
      </w:r>
    </w:p>
    <w:p w:rsidR="007270E9" w:rsidRDefault="00000000">
      <w:pPr>
        <w:rPr>
          <w:rtl/>
        </w:rPr>
      </w:pPr>
      <w:r>
        <w:pict>
          <v:shape id="_x0000_s10877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0877" inset="0,0,0,0">
              <w:txbxContent>
                <w:p w:rsidR="007311DE" w:rsidRDefault="007311DE">
                  <w:r>
                    <w:rPr>
                      <w:rtl/>
                    </w:rPr>
                    <w:t>167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78" o:spid="_x0000_s1038" type="#_x0000_t202" style="position:absolute;left:0;text-align:left;margin-left:375.7pt;margin-top:758.8pt;width:195.25pt;height:47.1pt;z-index:16;mso-position-horizontal-relative:page;mso-position-vertical-relative:page" stroked="f">
            <v:textbox style="mso-next-textbox:#_x0000_s10878" inset="0,0,0,0">
              <w:txbxContent>
                <w:p w:rsidR="007311DE" w:rsidRPr="007270E9" w:rsidRDefault="007311DE">
                  <w:pPr>
                    <w:pStyle w:val="OCRStyle4"/>
                    <w:ind w:left="5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 "ר 1938, תוס' 2 מס' 733 , עמ' 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79" o:spid="_x0000_s1039" type="#_x0000_t202" style="position:absolute;left:0;text-align:left;margin-left:146.2pt;margin-top:364.6pt;width:436.8pt;height:384.1pt;z-index:15;mso-position-horizontal-relative:page;mso-position-vertical-relative:page" stroked="f">
            <v:textbox style="mso-next-textbox:#_x0000_s1087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8"/>
                    <w:gridCol w:w="1833"/>
                  </w:tblGrid>
                  <w:tr w:rsidR="007311DE">
                    <w:trPr>
                      <w:jc w:val="right"/>
                    </w:trPr>
                    <w:tc>
                      <w:tcPr>
                        <w:tcW w:w="3846" w:type="pct"/>
                      </w:tcPr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בעל דין לפני ועדת עררים דרואה עצמו מקופח על ידי החלטה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 של ועדת עררים, רשאי לערער על ההחלטה לפני בית המשפט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המחוזי, אשר באזור שיפוטו נמצא תחום המועצה.</w:t>
                        </w:r>
                      </w:p>
                    </w:tc>
                    <w:tc>
                      <w:tcPr>
                        <w:tcW w:w="1154" w:type="pct"/>
                      </w:tcPr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רשאי לערער</w:t>
                        </w:r>
                      </w:p>
                    </w:tc>
                  </w:tr>
                  <w:tr w:rsidR="007311DE" w:rsidRPr="007270E9">
                    <w:trPr>
                      <w:jc w:val="right"/>
                    </w:trPr>
                    <w:tc>
                      <w:tcPr>
                        <w:tcW w:w="3846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הערעור יוגש תוך ארבעה עשר יום מיום החלטת ועדת העררים אם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במעמדו של המערער, או תוך ארבעה עשר יום מהיום שנמסרה לו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ההחלטה בדרך שנקבעה בצו לכי סעיף 2 - אם ניתנה שלא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בפניו, או תוך ארבעה עשר יום מיום פרסום הודעת ועדת העררים על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 בדרך שנקבעה כאמור, אם ההחלטה היא בדבר ערר כללי של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אלא שמותר להגיש ערעור גם לפני מסירת ההודעה או פרסומה.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"ערר כללי של המועצה" - ערר של המועצה על לוח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על יסוד הטענה ששומת כלל הנכסים או סוג נכסים פלוני, היא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מדי או נמוכה מדי ומבוקשת הורדה כללית או העלאה כללית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מתאימה.</w:t>
                        </w:r>
                      </w:p>
                    </w:tc>
                    <w:tc>
                      <w:tcPr>
                        <w:tcW w:w="1154" w:type="pct"/>
                      </w:tcPr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להגשת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דערעיר</w:t>
                        </w:r>
                      </w:p>
                    </w:tc>
                  </w:tr>
                  <w:tr w:rsidR="007311DE">
                    <w:trPr>
                      <w:jc w:val="right"/>
                    </w:trPr>
                    <w:tc>
                      <w:tcPr>
                        <w:tcW w:w="3846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בכל ערעור שאינו של המועצה - המשיבים הם המועצה ובעל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המערער בועדת העררים.</w:t>
                        </w:r>
                      </w:p>
                    </w:tc>
                    <w:tc>
                      <w:tcPr>
                        <w:tcW w:w="1154" w:type="pct"/>
                      </w:tcPr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המישיבים</w:t>
                        </w:r>
                      </w:p>
                    </w:tc>
                  </w:tr>
                  <w:tr w:rsidR="007311DE" w:rsidRPr="007270E9">
                    <w:trPr>
                      <w:jc w:val="right"/>
                    </w:trPr>
                    <w:tc>
                      <w:tcPr>
                        <w:tcW w:w="3846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הערעור יוגש ויתברר על ידי בקשה בדרך המרצה כאמור בחלק ל'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הפרוצידורה האזרחית, .1938</w:t>
                        </w:r>
                      </w:p>
                    </w:tc>
                    <w:tc>
                      <w:tcPr>
                        <w:tcW w:w="1154" w:type="pct"/>
                      </w:tcPr>
                      <w:p w:rsidR="007311DE" w:rsidRPr="007270E9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הדיון</w:t>
                        </w:r>
                      </w:p>
                    </w:tc>
                  </w:tr>
                  <w:tr w:rsidR="007311DE" w:rsidRPr="007270E9">
                    <w:trPr>
                      <w:jc w:val="right"/>
                    </w:trPr>
                    <w:tc>
                      <w:tcPr>
                        <w:tcW w:w="3846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רשם בית המשפט המחוזי יודיע לועדת השומה על הערעור, ויושב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יעביר לבית המשפט כל חומר שועדת השומה וועדת העררים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השתמשו בו בקשר לענין המשמש נושא הערעור.</w:t>
                        </w:r>
                      </w:p>
                    </w:tc>
                    <w:tc>
                      <w:tcPr>
                        <w:tcW w:w="1154" w:type="pct"/>
                      </w:tcPr>
                      <w:p w:rsidR="007311DE" w:rsidRPr="007270E9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חומר  הדין</w:t>
                        </w:r>
                      </w:p>
                    </w:tc>
                  </w:tr>
                  <w:tr w:rsidR="007311DE" w:rsidRPr="007270E9">
                    <w:trPr>
                      <w:jc w:val="right"/>
                    </w:trPr>
                    <w:tc>
                      <w:tcPr>
                        <w:tcW w:w="3846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רשם בית המשפט המחוזי ישלח בלי דיחוי לועדת השומה הודעה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פסק-הדין של בית המשפט.</w:t>
                        </w:r>
                      </w:p>
                    </w:tc>
                    <w:tc>
                      <w:tcPr>
                        <w:tcW w:w="1154" w:type="pct"/>
                      </w:tcPr>
                      <w:p w:rsidR="007311DE" w:rsidRPr="007270E9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 ידעת פסק-הדין</w:t>
                        </w:r>
                      </w:p>
                    </w:tc>
                  </w:tr>
                </w:tbl>
                <w:p w:rsidR="007311DE" w:rsidRDefault="007311D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880" o:spid="_x0000_s1040" type="#_x0000_t202" style="position:absolute;left:0;text-align:left;margin-left:296.1pt;margin-top:324pt;width:122.15pt;height:33.25pt;z-index:14;mso-position-horizontal-relative:page;mso-position-vertical-relative:page" stroked="f">
            <v:textbox style="mso-next-textbox:#_x0000_s10880" inset="0,0,0,0">
              <w:txbxContent>
                <w:p w:rsidR="007311DE" w:rsidRDefault="007311DE">
                  <w:pPr>
                    <w:pStyle w:val="OCRStyle4"/>
                    <w:ind w:left="31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שלישית</w:t>
                  </w:r>
                </w:p>
                <w:p w:rsidR="007311DE" w:rsidRPr="007270E9" w:rsidRDefault="007311DE">
                  <w:pPr>
                    <w:pStyle w:val="OCRStyle4"/>
                    <w:ind w:left="727"/>
                  </w:pPr>
                  <w:r>
                    <w:rPr>
                      <w:rtl/>
                    </w:rPr>
                    <w:t>(סעיף 5)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81" o:spid="_x0000_s1041" type="#_x0000_t202" style="position:absolute;left:0;text-align:left;margin-left:144.45pt;margin-top:68.6pt;width:421.95pt;height:247.9pt;z-index:13;mso-position-horizontal-relative:page;mso-position-vertical-relative:page" stroked="f">
            <v:textbox style="mso-next-textbox:#_x0000_s1088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07"/>
                    <w:gridCol w:w="1364"/>
                  </w:tblGrid>
                  <w:tr w:rsidR="007311DE" w:rsidRPr="007270E9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הערעור ירגש ויתברר על ידי בקשה בדרך המרצה כאמור בחלק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 לתקנות הפרוצידורה האזרחית' 1938  2,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311DE" w:rsidRPr="007270E9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הדיון</w:t>
                        </w:r>
                      </w:p>
                    </w:tc>
                  </w:tr>
                  <w:tr w:rsidR="007311DE" w:rsidRPr="007270E9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משיודיעו לועדת הבחירות על הערעור, יעכיר יושב ראש הועדה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כל חומר שהשתמשו בו בקשר לענין המשמש נושא לערעור.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חומר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דדיו;</w:t>
                        </w:r>
                      </w:p>
                    </w:tc>
                  </w:tr>
                  <w:tr w:rsidR="007311DE" w:rsidRPr="007270E9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6). בית המשפט יפסוק בערעור תוך עשרה ימים מיום הגשתו; לא הספיק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לפסוק תוך הזמן האמור' לא יעכב הערעור את הבחירות. 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311DE" w:rsidRPr="007270E9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פסק-הדין</w:t>
                        </w:r>
                      </w:p>
                    </w:tc>
                  </w:tr>
                  <w:tr w:rsidR="007311DE" w:rsidRPr="007270E9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רשם בית המשפט המחוזי ישלח בלי דיחוי לועדת הבחירות הודעה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פסק-דינו של בית המשפט.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311DE" w:rsidRPr="007270E9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פסק - דין</w:t>
                        </w:r>
                      </w:p>
                    </w:tc>
                  </w:tr>
                  <w:tr w:rsidR="007311DE" w:rsidRPr="007270E9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החליט בית המשפט על תיקון בפנקס הבוחרים, יתקן אותו בלי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דיחוי יושב ראש ועדת הבחירות לפי ההחלטה.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פנקס</w:t>
                        </w:r>
                      </w:p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 עקב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</w:t>
                        </w:r>
                      </w:p>
                    </w:tc>
                  </w:tr>
                  <w:tr w:rsidR="007311DE" w:rsidRPr="007270E9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לא ישולמו בקשר לערעור אגרות בית משפט, אגרת התייצבות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עורך-דין ומס בולים על ייפוי-כוח.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311DE" w:rsidRDefault="007311D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מאגרת</w:t>
                        </w:r>
                      </w:p>
                      <w:p w:rsidR="007311DE" w:rsidRPr="007270E9" w:rsidRDefault="007311D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</w:tbl>
                <w:p w:rsidR="007311DE" w:rsidRDefault="007311D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311DE" w:rsidRDefault="007311DE">
      <w:pPr>
        <w:rPr>
          <w:rtl/>
        </w:rPr>
      </w:pPr>
      <w:r>
        <w:rPr>
          <w:rtl/>
        </w:rPr>
        <w:br w:type="page"/>
      </w:r>
    </w:p>
    <w:p w:rsidR="007311DE" w:rsidRDefault="00000000">
      <w:pPr>
        <w:rPr>
          <w:rtl/>
        </w:rPr>
      </w:pPr>
      <w:r>
        <w:pict>
          <v:shape id="_x0000_s10882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0882" inset="0,0,0,0">
              <w:txbxContent>
                <w:p w:rsidR="007311DE" w:rsidRDefault="007311DE">
                  <w:r>
                    <w:rPr>
                      <w:rtl/>
                    </w:rPr>
                    <w:t>168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83" o:spid="_x0000_s1043" type="#_x0000_t202" style="position:absolute;left:0;text-align:left;margin-left:84.85pt;margin-top:436.3pt;width:137.8pt;height:40.6pt;z-index:21;mso-position-horizontal-relative:page;mso-position-vertical-relative:page" stroked="f">
            <v:textbox style="mso-next-textbox:#_x0000_s10883" inset="0,0,0,0">
              <w:txbxContent>
                <w:p w:rsidR="007311DE" w:rsidRDefault="007311DE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7311DE" w:rsidRDefault="007311DE">
                  <w:pPr>
                    <w:pStyle w:val="OCRStyle5"/>
                    <w:ind w:left="8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84" o:spid="_x0000_s1044" type="#_x0000_t202" style="position:absolute;left:0;text-align:left;margin-left:247.85pt;margin-top:439.05pt;width:111.85pt;height:37.05pt;z-index:20;mso-position-horizontal-relative:page;mso-position-vertical-relative:page" stroked="f">
            <v:textbox style="mso-next-textbox:#_x0000_s10884" inset="0,0,0,0">
              <w:txbxContent>
                <w:p w:rsidR="007311DE" w:rsidRDefault="007311DE">
                  <w:pPr>
                    <w:pStyle w:val="OCRStyle5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311DE" w:rsidRDefault="007311DE">
                  <w:pPr>
                    <w:pStyle w:val="OCRStyle5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85" o:spid="_x0000_s1045" type="#_x0000_t202" style="position:absolute;left:0;text-align:left;margin-left:384.65pt;margin-top:474.1pt;width:107.3pt;height:43.55pt;z-index:19;mso-position-horizontal-relative:page;mso-position-vertical-relative:page" stroked="f">
            <v:textbox style="mso-next-textbox:#_x0000_s10885" inset="0,0,0,0">
              <w:txbxContent>
                <w:p w:rsidR="007311DE" w:rsidRDefault="007311DE">
                  <w:pPr>
                    <w:pStyle w:val="OCRStyle5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311DE" w:rsidRDefault="007311DE">
                  <w:pPr>
                    <w:pStyle w:val="OCRStyle5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86" o:spid="_x0000_s1046" type="#_x0000_t202" style="position:absolute;left:0;text-align:left;margin-left:81.3pt;margin-top:66.25pt;width:483.7pt;height:363.55pt;z-index:18;mso-position-horizontal-relative:page;mso-position-vertical-relative:page" stroked="f">
            <v:textbox style="mso-next-textbox:#_x0000_s1088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3"/>
                    <w:gridCol w:w="1620"/>
                    <w:gridCol w:w="1173"/>
                  </w:tblGrid>
                  <w:tr w:rsidR="007311DE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החליט בית המשפט המחוזי על תיקון לוח השומה' יתקן יושב ראש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השומה את הלוח בלי דיחוי.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311DE" w:rsidRP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השומה</w:t>
                        </w:r>
                      </w:p>
                    </w:tc>
                    <w:tc>
                      <w:tcPr>
                        <w:tcW w:w="667" w:type="pct"/>
                      </w:tcPr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311DE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הוראות תוספת זו יחולו' בשינויים המחוייבים לפי הענין, על ערעור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ועדת עררים בדבר הוספות ללוח השומה ובדבר בקורת לוח</w:t>
                        </w:r>
                      </w:p>
                      <w:p w:rsidR="007311DE" w:rsidRP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בהתאם לצו לפי סעיף 2.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הדיון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בהיבטה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ובבקורת  ללוח</w:t>
                        </w:r>
                      </w:p>
                      <w:p w:rsidR="007311DE" w:rsidRP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השומה</w:t>
                        </w:r>
                      </w:p>
                    </w:tc>
                    <w:tc>
                      <w:tcPr>
                        <w:tcW w:w="667" w:type="pct"/>
                      </w:tcPr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311DE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החייב בתשלום ארנונה או כתשלום חובה אחר מכוח צו לפי סעיף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ישלם אותם במועדם, אף אם הוגש ערעור לפי תוספת זו ועדיין לא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הוכרע בו; חל שינוי בשומה עקב הערעור' הוא או המועצה ישלם או</w:t>
                        </w:r>
                      </w:p>
                      <w:p w:rsidR="007311DE" w:rsidRP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יקבל את ההפרש' הכל לפי הענין."</w:t>
                        </w:r>
                      </w:p>
                    </w:tc>
                    <w:tc>
                      <w:tcPr>
                        <w:tcW w:w="921" w:type="pct"/>
                      </w:tcPr>
                      <w:p w:rsid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תשלום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ארנונה על  אף</w:t>
                        </w:r>
                      </w:p>
                      <w:p w:rsidR="007311DE" w:rsidRP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הערעור</w:t>
                        </w:r>
                      </w:p>
                    </w:tc>
                    <w:tc>
                      <w:tcPr>
                        <w:tcW w:w="667" w:type="pct"/>
                      </w:tcPr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311DE" w:rsidRPr="007311DE">
                    <w:trPr>
                      <w:jc w:val="right"/>
                    </w:trPr>
                    <w:tc>
                      <w:tcPr>
                        <w:tcW w:w="4333" w:type="pct"/>
                        <w:gridSpan w:val="2"/>
                      </w:tcPr>
                      <w:p w:rsid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(א) הכריז שר הפנים, לפני תחילתו של חוק זה' מכוח סעיף 2 (1) לפקודה' כי כפר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קבוצת כפרים או אזור יתנהלו על ידי מועצה מקומית' וערב תחילת ההכרזה היתה קיימת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אזור' כולו או מקצתו' רשות מקומית אחרת והורה שר הפנים כי לחוק עזר של אותה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יהיה תוקף גם כחוק עזר של המועצה המקומית, רואים את ההוראה כאילו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כדין.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הטילה מועצה מקומית' לפני תחילתו של חוק זה' בחוק עזר' חובת השתתפות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עבודה שהיא רשאית או חייבת לבצעה מכוח פקודה זו או מכוח חיקוק אחר' ונקבע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חוק עזר כי חובת ההשתתפות תחול גם לגבי עבודות כאמור שבוצעו' כולן או מקצתן,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המועצה' מכוח הרשאה או חובה כאמור' לפני תחילתו של חוק העזר' תחול חובת</w:t>
                        </w:r>
                      </w:p>
                      <w:p w:rsid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ההשתתפות' גם לגבי עבודות שבוצעו תוך שנה לפני תחילתו של חוק העזר, אך לא במועד</w:t>
                        </w:r>
                      </w:p>
                      <w:p w:rsidR="007311DE" w:rsidRPr="007311DE" w:rsidRDefault="007311D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7311DE" w:rsidRPr="007311DE" w:rsidRDefault="007311D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</w:tr>
                </w:tbl>
                <w:p w:rsidR="007311DE" w:rsidRDefault="007311D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619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1DD197-7B5C-46DF-B84A-889731B0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6196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E3EC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0309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270E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311D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2008-04-06T19:11:00Z</dcterms:created>
  <dcterms:modified xsi:type="dcterms:W3CDTF">2008-04-06T19:11:00Z</dcterms:modified>
</cp:coreProperties>
</file>