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04B2" w:rsidRDefault="00AB04B2">
      <w:pPr>
        <w:rPr>
          <w:rtl/>
        </w:rPr>
      </w:pPr>
    </w:p>
    <w:p w:rsidR="00AB04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0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900" inset="0,0,0,0">
              <w:txbxContent>
                <w:p w:rsidR="00AB04B2" w:rsidRDefault="00AB04B2">
                  <w:r>
                    <w:rPr>
                      <w:rtl/>
                    </w:rPr>
                    <w:t>2                                            ספר החוקים 468                   כ"ז בטבת התשכ"ו 19.01.1966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01" o:spid="_x0000_s1026" type="#_x0000_t202" style="position:absolute;left:0;text-align:left;margin-left:78.65pt;margin-top:692.15pt;width:186.1pt;height:55.05pt;z-index:7;mso-position-horizontal-relative:page;mso-position-vertical-relative:page" stroked="f">
            <v:textbox style="mso-next-textbox:#_x0000_s10901" inset="0,0,0,0">
              <w:txbxContent>
                <w:p w:rsidR="00AB04B2" w:rsidRDefault="00AB04B2">
                  <w:pPr>
                    <w:pStyle w:val="OCRStyle1"/>
                    <w:rPr>
                      <w:rtl/>
                    </w:rPr>
                  </w:pPr>
                </w:p>
                <w:p w:rsidR="00AB04B2" w:rsidRPr="00AB04B2" w:rsidRDefault="00AB04B2">
                  <w:pPr>
                    <w:pStyle w:val="OCRStyle1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02" o:spid="_x0000_s1027" type="#_x0000_t202" style="position:absolute;left:0;text-align:left;margin-left:88.15pt;margin-top:452.75pt;width:390.05pt;height:207.5pt;z-index:6;mso-position-horizontal-relative:page;mso-position-vertical-relative:page" stroked="f">
            <v:textbox style="mso-next-textbox:#_x0000_s10902" inset="0,0,0,0">
              <w:txbxContent>
                <w:p w:rsidR="00AB04B2" w:rsidRDefault="00AB04B2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י"ח בטבת תשכ"ו (10 בינואר 1966); הצעת החוק לדברי הסבר פורסמו בה"ח 675, תשכ"ו,</w:t>
                  </w:r>
                </w:p>
                <w:p w:rsidR="00AB04B2" w:rsidRDefault="00AB04B2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50.</w:t>
                  </w:r>
                </w:p>
                <w:p w:rsidR="00AB04B2" w:rsidRDefault="00AB04B2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9, תשכ"ה, עמ' 256.</w:t>
                  </w:r>
                </w:p>
                <w:p w:rsidR="00AB04B2" w:rsidRDefault="00AB04B2">
                  <w:pPr>
                    <w:pStyle w:val="OCRStyle1"/>
                    <w:ind w:left="3352"/>
                    <w:rPr>
                      <w:rtl/>
                    </w:rPr>
                  </w:pPr>
                  <w:r>
                    <w:rPr>
                      <w:rtl/>
                    </w:rPr>
                    <w:t>תיקון טעות</w:t>
                  </w:r>
                </w:p>
                <w:p w:rsidR="00AB04B2" w:rsidRDefault="00AB04B2">
                  <w:pPr>
                    <w:pStyle w:val="OCRStyle1"/>
                    <w:ind w:left="11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בחוק התכנון והבניה, תשכ"ה-1965, שפורסם בספר החוקים 467, תשכ"ה, עמ' 307,</w:t>
                  </w:r>
                </w:p>
                <w:p w:rsidR="00AB04B2" w:rsidRPr="00AB04B2" w:rsidRDefault="00AB04B2">
                  <w:pPr>
                    <w:pStyle w:val="OCRStyle1"/>
                    <w:ind w:left="7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בסעיף 265(11), במקום "מקורות" צ"ל "מקומות".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03" o:spid="_x0000_s1028" type="#_x0000_t202" style="position:absolute;left:0;text-align:left;margin-left:91.7pt;margin-top:330.4pt;width:121.35pt;height:38.8pt;z-index:5;mso-position-horizontal-relative:page;mso-position-vertical-relative:page" stroked="f">
            <v:textbox style="mso-next-textbox:#_x0000_s10903" inset="0,0,0,0">
              <w:txbxContent>
                <w:p w:rsidR="00AB04B2" w:rsidRDefault="00AB04B2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AB04B2" w:rsidRDefault="00AB04B2">
                  <w:pPr>
                    <w:pStyle w:val="OCRStyle1"/>
                    <w:ind w:left="75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04" o:spid="_x0000_s1029" type="#_x0000_t202" style="position:absolute;left:0;text-align:left;margin-left:231.9pt;margin-top:333.15pt;width:87.1pt;height:37.8pt;z-index:4;mso-position-horizontal-relative:page;mso-position-vertical-relative:page" stroked="f">
            <v:textbox style="mso-next-textbox:#_x0000_s10904" inset="0,0,0,0">
              <w:txbxContent>
                <w:p w:rsidR="00AB04B2" w:rsidRDefault="00AB04B2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B04B2" w:rsidRDefault="00AB04B2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05" o:spid="_x0000_s1030" type="#_x0000_t202" style="position:absolute;left:0;text-align:left;margin-left:355.05pt;margin-top:361.5pt;width:126.5pt;height:37.8pt;z-index:3;mso-position-horizontal-relative:page;mso-position-vertical-relative:page" stroked="f">
            <v:textbox style="mso-next-textbox:#_x0000_s10905" inset="0,0,0,0">
              <w:txbxContent>
                <w:p w:rsidR="00AB04B2" w:rsidRDefault="00AB04B2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B04B2" w:rsidRDefault="00AB04B2">
                  <w:pPr>
                    <w:pStyle w:val="OCRStyle1"/>
                    <w:ind w:left="6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06" o:spid="_x0000_s1031" type="#_x0000_t202" style="position:absolute;left:0;text-align:left;margin-left:80.45pt;margin-top:111pt;width:477pt;height:216.8pt;z-index:2;mso-position-horizontal-relative:page;mso-position-vertical-relative:page" stroked="f">
            <v:textbox style="mso-next-textbox:#_x0000_s1090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0"/>
                    <w:gridCol w:w="1407"/>
                    <w:gridCol w:w="1426"/>
                  </w:tblGrid>
                  <w:tr w:rsidR="00AB04B2" w:rsidRPr="00AB04B2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AB04B2" w:rsidRP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10 לפקודת המועצות המקומיות 1 (להלן - הפקודה), יבוא:</w:t>
                        </w:r>
                      </w:p>
                    </w:tc>
                    <w:tc>
                      <w:tcPr>
                        <w:tcW w:w="822" w:type="pct"/>
                        <w:vMerge w:val="restart"/>
                      </w:tcPr>
                      <w:p w:rsidR="00AB04B2" w:rsidRDefault="00AB0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AB04B2" w:rsidRPr="00AB04B2" w:rsidRDefault="00AB0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10א ו-10ב</w:t>
                        </w:r>
                      </w:p>
                    </w:tc>
                  </w:tr>
                  <w:tr w:rsidR="00AB04B2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מועצה מקומית רשאית, בכפוף להוראות הפקודה, צו הכינון ותק-</w:t>
                        </w:r>
                      </w:p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שהתקין השר לענין זה, להיות צד לשיק הנושא עליו את יום הוצאתו</w:t>
                        </w:r>
                      </w:p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 ולהתחייב בשטר חוב.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לחתום</w:t>
                        </w:r>
                      </w:p>
                      <w:p w:rsidR="00AB04B2" w:rsidRPr="00AB04B2" w:rsidRDefault="00AB0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שטרות</w:t>
                        </w:r>
                      </w:p>
                    </w:tc>
                    <w:tc>
                      <w:tcPr>
                        <w:tcW w:w="822" w:type="pct"/>
                        <w:vMerge/>
                      </w:tcPr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B04B2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10ב. האמור בסעיף 10א לא יתפרש כפוטר מאחריות אישית את החותם</w:t>
                        </w:r>
                      </w:p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בשם מועצה מקומית על שטר שאין המועצה מוסמכת להתחייב בו או</w:t>
                        </w:r>
                      </w:p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הוא מוסמך לחייב בו את המועצה המקומית."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AB04B2" w:rsidRDefault="00AB0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אישית</w:t>
                        </w:r>
                      </w:p>
                      <w:p w:rsidR="00AB04B2" w:rsidRPr="00AB04B2" w:rsidRDefault="00AB0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שמורה</w:t>
                        </w:r>
                      </w:p>
                    </w:tc>
                    <w:tc>
                      <w:tcPr>
                        <w:tcW w:w="822" w:type="pct"/>
                      </w:tcPr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B04B2" w:rsidRPr="00AB04B2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AB04B2" w:rsidRDefault="00AB0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12 לפקודה, במקום "לעניו סעיפים 10 ו-11" יבוא "לענין סעיפים 10 עד</w:t>
                        </w:r>
                      </w:p>
                      <w:p w:rsidR="00AB04B2" w:rsidRP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ו-13א".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AB04B2" w:rsidRPr="00AB04B2" w:rsidRDefault="00AB0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AB04B2" w:rsidRPr="00AB04B2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AB04B2" w:rsidRP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13 לפקודה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AB04B2" w:rsidRPr="00AB04B2" w:rsidRDefault="00AB0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AB04B2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מועצה מקומית לא תהא רשאית לערוב לחיובו של אדם אחר אלא</w:t>
                        </w:r>
                      </w:p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של השר או של מי שהשר הסמיכו לכך."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AB04B2" w:rsidRPr="00AB04B2" w:rsidRDefault="00AB04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לערבות</w:t>
                        </w:r>
                      </w:p>
                    </w:tc>
                    <w:tc>
                      <w:tcPr>
                        <w:tcW w:w="822" w:type="pct"/>
                      </w:tcPr>
                      <w:p w:rsidR="00AB04B2" w:rsidRDefault="00AB04B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B04B2" w:rsidRDefault="00AB04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907" o:spid="_x0000_s1032" type="#_x0000_t202" style="position:absolute;left:0;text-align:left;margin-left:134.7pt;margin-top:71.4pt;width:295.2pt;height:32.65pt;z-index:1;mso-position-horizontal-relative:page;mso-position-vertical-relative:page" stroked="f">
            <v:textbox style="mso-next-textbox:#_x0000_s10907" inset="0,0,0,0">
              <w:txbxContent>
                <w:p w:rsidR="00AB04B2" w:rsidRPr="00AB04B2" w:rsidRDefault="00AB04B2">
                  <w:pPr>
                    <w:pStyle w:val="OCRStyle1"/>
                    <w:ind w:left="8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המועצות המקומיות, 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B04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E1BE06-E06F-44E5-86E5-B680319F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04B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2008-04-06T20:36:00Z</dcterms:created>
  <dcterms:modified xsi:type="dcterms:W3CDTF">2008-04-06T20:36:00Z</dcterms:modified>
</cp:coreProperties>
</file>