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27BC" w:rsidRDefault="000727BC">
      <w:pPr>
        <w:rPr>
          <w:rtl/>
        </w:rPr>
      </w:pPr>
    </w:p>
    <w:p w:rsidR="000727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261" inset="0,0,0,0">
              <w:txbxContent>
                <w:p w:rsidR="007C4323" w:rsidRDefault="007C4323">
                  <w:r>
                    <w:rPr>
                      <w:rtl/>
                    </w:rPr>
                    <w:t>72                                           ספר החוקים 276                 ב' באדר ב' התשי"ט 12.03.1959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62" o:spid="_x0000_s1026" type="#_x0000_t202" style="position:absolute;left:0;text-align:left;margin-left:88.7pt;margin-top:688.25pt;width:399.35pt;height:63.95pt;z-index:3;mso-position-horizontal-relative:page;mso-position-vertical-relative:page" stroked="f">
            <v:textbox style="mso-next-textbox:#_x0000_s11262" inset="0,0,0,0">
              <w:txbxContent>
                <w:p w:rsidR="007C4323" w:rsidRDefault="007C432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א' תשי''ט (2 במרס 1939); הצעת החוק ודברי הסבר נתפרסמו בה''ח 287/ חשט''ז/</w:t>
                  </w:r>
                </w:p>
                <w:p w:rsidR="007C4323" w:rsidRPr="000727BC" w:rsidRDefault="007C4323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63" o:spid="_x0000_s1027" type="#_x0000_t202" style="position:absolute;left:0;text-align:left;margin-left:85.3pt;margin-top:108.3pt;width:473.4pt;height:578.95pt;z-index:2;mso-position-horizontal-relative:page;mso-position-vertical-relative:page" stroked="f">
            <v:textbox style="mso-next-textbox:#_x0000_s112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346"/>
                  </w:tblGrid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בחוק זה -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"בגיר" - מי שמלאו לו שמונה-עשרה שבה;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מי שאינו בגיר;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בין שנולד מנישואין ובין שלא מנישואין לרבות מאומץ.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אומץ ילד' יבואו לענין חוק זה המאמץ ובני משפחתו במקום הורי המאומץ ובני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.(א) אדם חייב כמזונות בן-זוגו לפי הוראות הדין האישי החל עליו, והוראות חוק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יחולו על מזונות אלה.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אדם שאינו יהודי או מושלמי או דרוזי או חבר אחת העדות הדתיות המפורטות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לפקודת הירישה' או שלא חל עליו דין אישי' חייב במזונות בן-זוגו/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זה יחולו על מזונות אלה.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מזוגות לבן-זוג</w:t>
                        </w:r>
                      </w:p>
                    </w:tc>
                  </w:tr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אדם חייב במזונות הילדים הקטינים שלו והילדים הקטינים של בן-זוגו לפי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הדין האישי החל עליו' והוראות חוק זה לא יחולו על מזונות אלה.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שאינו חייב במזונות הילדים הקטינים שלו והילדים הקטינים של בן-זוגי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הדין האישי החל עליו' או שלא חל עליו דין אישי' חייב במזונותיהם' והוראות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יחולו על מזונות אלה.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מזונות לילדים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קטינים</w:t>
                        </w:r>
                      </w:p>
                    </w:tc>
                  </w:tr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אדם חייב במזונות שאר בני-משפחתו' והם -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הוריו והורי בן-זוגו;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ילדיו הבגירים ובני-זוגם;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נכדיו;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הורי הוריו שלו ושל בן-זוגו;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אחיו ואחיותיו שלו ושל בן-זוגו.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מזונות בין שאר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בני-משפחה</w:t>
                        </w:r>
                      </w:p>
                    </w:tc>
                  </w:tr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אין אדם חייב לספק מזונות לבן-משפחה לפי סעיף 4 אלא במידה שנתקיימו שלוש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 בידו לעשות כן לאחר סיפוק הצרכים של עצמו' של בן-זוגו ושל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הקטינים שלו והילדים הקטינים של בן-זוגו;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אותו בן-משפחה' על אף מאמציו' אינו יכול לספק צרכיו מעבודה'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מנכסיו או ממקור אחר;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אותו בן-משפחה אינו יכול לקבל מזונות לפי סעיף 2 או לפי סעיף 3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מעזבון, ואינו יכול לקבלם מבן-משפחה הקודם לאותו אדם לפי הסדר שנקבע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סולם המזונות</w:t>
                        </w:r>
                      </w:p>
                    </w:tc>
                  </w:tr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.היקף המזונות' מידתם ודרכי סיפוקם ייקבעו' באין הסכם בין הצדדים, על ידי בית</w:t>
                        </w:r>
                      </w:p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בשים לב לנסיבות' ופרט למזונות על פי סעיף 3 - לפי מחסורו של הזכאי ויכלתו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החייב.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המזונות</w:t>
                        </w:r>
                      </w:p>
                    </w:tc>
                  </w:tr>
                  <w:tr w:rsidR="007C4323" w:rsidRPr="000727BC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7C4323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.היו שנים או יותר בני אותה קירבה חייבים במזונות לזכאי' רשאי בית המשפט לקבוע</w:t>
                        </w:r>
                      </w:p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מידת החיוב של כל אחד מהם, ורשאי הוא לחייבם ביחד ולחוד.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7C4323" w:rsidRPr="000727BC" w:rsidRDefault="007C43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אוזרים</w:t>
                        </w:r>
                      </w:p>
                    </w:tc>
                  </w:tr>
                </w:tbl>
                <w:p w:rsidR="007C4323" w:rsidRDefault="007C43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64" o:spid="_x0000_s1028" type="#_x0000_t202" style="position:absolute;left:0;text-align:left;margin-left:152.65pt;margin-top:82.55pt;width:271.25pt;height:20.8pt;z-index:1;mso-position-horizontal-relative:page;mso-position-vertical-relative:page" stroked="f">
            <v:textbox style="mso-next-textbox:#_x0000_s11264" inset="0,0,0,0">
              <w:txbxContent>
                <w:p w:rsidR="007C4323" w:rsidRPr="000727BC" w:rsidRDefault="007C4323">
                  <w:pPr>
                    <w:pStyle w:val="OCRStyle1"/>
                    <w:ind w:left="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המשפחה (מזונות), תשי"ט-1959*</w:t>
                  </w:r>
                </w:p>
              </w:txbxContent>
            </v:textbox>
            <w10:wrap anchorx="page" anchory="page"/>
          </v:shape>
        </w:pict>
      </w:r>
    </w:p>
    <w:p w:rsidR="00E67E76" w:rsidRDefault="00E67E76">
      <w:pPr>
        <w:rPr>
          <w:rtl/>
        </w:rPr>
      </w:pPr>
      <w:r>
        <w:rPr>
          <w:rtl/>
        </w:rPr>
        <w:br w:type="page"/>
      </w:r>
    </w:p>
    <w:p w:rsidR="00E67E76" w:rsidRDefault="00000000">
      <w:pPr>
        <w:rPr>
          <w:rtl/>
        </w:rPr>
      </w:pPr>
      <w:r>
        <w:pict>
          <v:shape id="_x0000_s112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265" inset="0,0,0,0">
              <w:txbxContent>
                <w:p w:rsidR="007C4323" w:rsidRDefault="007C4323">
                  <w:r>
                    <w:rPr>
                      <w:rtl/>
                    </w:rPr>
                    <w:t>73                                           ספר החוקים 276                 ב' באדר ב' התשי"ט 12.03.1959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66" o:spid="_x0000_s1030" type="#_x0000_t202" style="position:absolute;left:0;text-align:left;margin-left:335.7pt;margin-top:723.85pt;width:209.7pt;height:24.15pt;z-index:6;mso-position-horizontal-relative:page;mso-position-vertical-relative:page" stroked="f">
            <v:textbox style="mso-next-textbox:#_x0000_s11266" inset="0,0,0,0">
              <w:txbxContent>
                <w:p w:rsidR="007C4323" w:rsidRDefault="007C43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267" o:spid="_x0000_s1031" type="#_x0000_t202" style="position:absolute;left:0;text-align:left;margin-left:93.75pt;margin-top:65.9pt;width:459.95pt;height:653.8pt;z-index:5;mso-position-horizontal-relative:page;mso-position-vertical-relative:page" stroked="f">
            <v:textbox style="mso-next-textbox:#_x0000_s112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7154"/>
                  </w:tblGrid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מזונות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בית המשפט רשאי להורות על מתן ערובה למזונות או על השלשתם לתקופה שיקבע,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לצוות על אדם שממנו מגיע חוב לחייב' לפרוע את סכום החוב/ כולו או מקצתו,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לזכאי במזונות,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ממזונות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.רשאי בית המשפט' אם הוא סבור שמן הצדק והיושר לעשות בן, לפטור אדם מחובת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מזונות, כולה או מקצתה' מחמת התנהגות מחפירה שהזכאי במזונות התנהג כלפיו.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מזונות זמניים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הוגשה תביעה למזונות, רשאי בית המשפט לפסוק מזונות זמניים עד לגמר בייסור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למזונות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העבר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תביעה למזונות שהוגשה כעבור יותר משנה לאחר התקופה שבעדה הם נתבעים,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לדחותה בשל כך בלבד, אם לא ראה טעם סביר לאיחור.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מזונות שלא התחילו לפעול לגבייתם תוך שנתיים לאחר התקופה שבעדה הם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נפסקו' אין לנכותם אלא ברשות בית המשפט.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הסכמים בדבר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הסכם בדבר מזונות של קטין וויתור על מזונות כאלה אינו קושר את הקטין, כל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אושר על ידי בית המשפט.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בדבר מזונות של בגיר וויתור על מזונות כאלה ייעשו בכתב; הם ניתנים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בית-המשפט.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הסכם בעניני מזונות שאושר על ידי בית המשפט, דינו כדץ פסק-דין של בית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בעניני מזונות.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בנסיבות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בית המשפט רשאי לשנות את אשר נקבע בהסכם, בויתור ובפסק-דין אם ראה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על סמך נסיבות שנודעו למבקש או שנשתנו אחרי ההסכם, הויתור או פסק-הדין.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לב) רשאי בית המשפט שלא להיזקק לבקשת שינוי שהוגשה לפני שעברו ששה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חדשיט לאחר בקשה קודמת.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 ה אינן באות לגרוע מכל סעד לביטול או לשינוי של הסכם,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או פסק-דין שניתן לפי כל דין אחר.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 בדבר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זכות למזונות אינה ניתנת להעברה' לשיעבוד, לקיזוז או לעיקול, אלא לזכותו של מי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שסיפק לזכאי אמצעי מחיה בצורת שירותים או מצרכים,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זכות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המזונות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הזכות למזונות פוקעת עם מות הזכאי או עם מות החייב.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זכות למזונות הנובעת מקירבת נישואין פוקעת עם פקיעת הנישואין בין בני-הזוג.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זכות למזונות הנובעת מקירבת חיתון פוקעת גם עם פקיעת הנישואין שהביאו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קירבת חיתון.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חזרה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מי שנתן מזונות מעל למוטל עליו ולא התכוון ליתן מתנה, רשאי לדרוש החזרת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היתרה ממי שקיבלה או ממי שנתן פחות מן המוטל עליו ובמידה שנתן פחות מן המוטל עליו,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שנתן מזונות שלא היה חייב בהם ולא התכוון ליתן מתנה' רשאי לדרוש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החזרתם ממי שקיבלם או ממי שהיה חייב בהם ובמידה שהיה חייב בהם.</w:t>
                        </w:r>
                      </w:p>
                    </w:tc>
                  </w:tr>
                  <w:tr w:rsidR="007C4323" w:rsidRPr="00E67E76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בין-לאומי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7C4323" w:rsidRDefault="007C43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על חובת מזונות בין בני-זוג יחול דין מקום מושבם של בני-הזוג' ואם אץ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מקום מושב משותף, דין מקום מושבו של החייב.</w:t>
                        </w:r>
                      </w:p>
                      <w:p w:rsidR="007C4323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חובת מזונות של אדם לילד קטין יחול דין מקום מושבו של הילד.</w:t>
                        </w:r>
                      </w:p>
                      <w:p w:rsidR="007C4323" w:rsidRPr="00E67E76" w:rsidRDefault="007C43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חובת מזונות אחרת לפי חוק זה יחול דין מקום מושבו של החייב,</w:t>
                        </w:r>
                      </w:p>
                    </w:tc>
                  </w:tr>
                </w:tbl>
                <w:p w:rsidR="007C4323" w:rsidRDefault="007C43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4323" w:rsidRDefault="007C4323">
      <w:pPr>
        <w:rPr>
          <w:rtl/>
        </w:rPr>
      </w:pPr>
      <w:r>
        <w:rPr>
          <w:rtl/>
        </w:rPr>
        <w:br w:type="page"/>
      </w:r>
    </w:p>
    <w:p w:rsidR="007C4323" w:rsidRDefault="00000000">
      <w:pPr>
        <w:rPr>
          <w:rtl/>
        </w:rPr>
      </w:pPr>
      <w:r>
        <w:pict>
          <v:shape id="_x0000_s1126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268" inset="0,0,0,0">
              <w:txbxContent>
                <w:p w:rsidR="007C4323" w:rsidRDefault="007C4323">
                  <w:r>
                    <w:rPr>
                      <w:rtl/>
                    </w:rPr>
                    <w:t>74                                           ספר החוקים 276                 ב' באדר ב' התשי"ט 12.03.1959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69" o:spid="_x0000_s1033" type="#_x0000_t202" style="position:absolute;left:0;text-align:left;margin-left:84.7pt;margin-top:699.8pt;width:185.55pt;height:50.9pt;z-index:12;mso-position-horizontal-relative:page;mso-position-vertical-relative:page" stroked="f">
            <v:textbox style="mso-next-textbox:#_x0000_s11269" inset="0,0,0,0">
              <w:txbxContent>
                <w:p w:rsidR="007C4323" w:rsidRDefault="007C43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270" o:spid="_x0000_s1034" type="#_x0000_t202" style="position:absolute;left:0;text-align:left;margin-left:315.35pt;margin-top:650.5pt;width:171.25pt;height:29.3pt;z-index:11;mso-position-horizontal-relative:page;mso-position-vertical-relative:page" stroked="f">
            <v:textbox style="mso-next-textbox:#_x0000_s11270" inset="0,0,0,0">
              <w:txbxContent>
                <w:p w:rsidR="007C4323" w:rsidRPr="007C4323" w:rsidRDefault="007C4323">
                  <w:pPr>
                    <w:pStyle w:val="OCRStyle3"/>
                    <w:ind w:left="565"/>
                  </w:pPr>
                  <w:r>
                    <w:rPr>
                      <w:rtl/>
                    </w:rPr>
                    <w:t>1 ע"ר 1947/ תוס' 1 מס' 1568/ עמ' ל7.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1" o:spid="_x0000_s1035" type="#_x0000_t202" style="position:absolute;left:0;text-align:left;margin-left:116.55pt;margin-top:331.3pt;width:144.55pt;height:39.4pt;z-index:10;mso-position-horizontal-relative:page;mso-position-vertical-relative:page" stroked="f">
            <v:textbox style="mso-next-textbox:#_x0000_s11271" inset="0,0,0,0">
              <w:txbxContent>
                <w:p w:rsidR="007C4323" w:rsidRDefault="007C4323">
                  <w:pPr>
                    <w:pStyle w:val="OCRStyle3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C4323" w:rsidRDefault="007C4323">
                  <w:pPr>
                    <w:pStyle w:val="OCRStyle3"/>
                    <w:ind w:left="10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2" o:spid="_x0000_s1036" type="#_x0000_t202" style="position:absolute;left:0;text-align:left;margin-left:348.8pt;margin-top:357.25pt;width:116.05pt;height:39.2pt;z-index:9;mso-position-horizontal-relative:page;mso-position-vertical-relative:page" stroked="f">
            <v:textbox style="mso-next-textbox:#_x0000_s11272" inset="0,0,0,0">
              <w:txbxContent>
                <w:p w:rsidR="007C4323" w:rsidRDefault="007C4323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יצחק כן-צבי</w:t>
                  </w:r>
                </w:p>
                <w:p w:rsidR="007C4323" w:rsidRDefault="007C4323">
                  <w:pPr>
                    <w:pStyle w:val="OCRStyle3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73" o:spid="_x0000_s1037" type="#_x0000_t202" style="position:absolute;left:0;text-align:left;margin-left:88.05pt;margin-top:77.5pt;width:462.9pt;height:230.45pt;z-index:8;mso-position-horizontal-relative:page;mso-position-vertical-relative:page" stroked="f">
            <v:textbox style="mso-next-textbox:#_x0000_s112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5"/>
                    <w:gridCol w:w="1382"/>
                  </w:tblGrid>
                  <w:tr w:rsidR="007C4323" w:rsidRPr="007C432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. בית המשפט המוסמך לפי חוק זה הוא בית המשפט המחוזי' בכפוף להוראות סעיף 19.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משפנו</w:t>
                        </w:r>
                      </w:p>
                      <w:p w:rsidR="007C4323" w:rsidRP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</w:t>
                        </w:r>
                      </w:p>
                    </w:tc>
                  </w:tr>
                  <w:tr w:rsidR="007C4323" w:rsidRPr="007C432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.(א) חוק זה אינו בא להוסיף על סמכויות השיפוט של בתי-דין דתיים ולא לגרוע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מהן; ומקום שבית דין דתי מוסמך על פי חיקוק לשפוט, יראו כל מקום בחוק זה שנאמר בו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כבא לרבות בית-דין דתי.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בא להוסיף על זכויות המזונות הנתונות על פי כל דין שבית-דין דתי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דן לפיו ועל פי הדין האישי החל על הצדדים/ ואינו בא לגרוע מזכויות אלה.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זה אינו בא לגרוע מתקפו של כל הסכם הקובע זכות למזונות למעלה ממידתם</w:t>
                        </w:r>
                      </w:p>
                      <w:p w:rsidR="007C4323" w:rsidRP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מהיקפם לפי חוק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סמכויות,</w:t>
                        </w:r>
                      </w:p>
                      <w:p w:rsidR="007C4323" w:rsidRP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והסכמים</w:t>
                        </w:r>
                      </w:p>
                    </w:tc>
                  </w:tr>
                  <w:tr w:rsidR="007C4323" w:rsidRPr="007C4323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חוייב אדם במזונות על-פי פסק דין או על-פי הסכם שאושר על-ידי בית המשפט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זה, יינתן לו ניכוי, לצורך חישוב הכנסתו החייבת במט הכנסה, עבור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סכום ששילם על-פי פסק הדין או ההסכם האמור, בתנאי שהניכוי לא יעלה על שיעור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שנקבע בפקודת מס הכנסה' 1947 י, לגבי אותו סוג של קרובים, ובתנאי נוסף שההג-</w:t>
                        </w:r>
                      </w:p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בלות של פקודת מס הכנסה, 1947, על מספר הנתמכים שעבורם אפשר לדרוש ניכוי, לא</w:t>
                        </w:r>
                      </w:p>
                      <w:p w:rsidR="007C4323" w:rsidRP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במקרה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ממס</w:t>
                        </w:r>
                      </w:p>
                      <w:p w:rsidR="007C4323" w:rsidRPr="007C4323" w:rsidRDefault="007C43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</w:tbl>
                <w:p w:rsidR="007C4323" w:rsidRDefault="007C43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727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6EF4A0-DA1D-42D2-83B5-75573D89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27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7E7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C43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2008-04-06T19:18:00Z</dcterms:created>
  <dcterms:modified xsi:type="dcterms:W3CDTF">2008-04-06T19:18:00Z</dcterms:modified>
</cp:coreProperties>
</file>