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A4733" w:rsidRDefault="004A4733">
      <w:pPr>
        <w:rPr>
          <w:rtl/>
        </w:rPr>
      </w:pPr>
    </w:p>
    <w:p w:rsidR="004A473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299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1299" inset="0,0,0,0">
              <w:txbxContent>
                <w:p w:rsidR="004A4733" w:rsidRDefault="004A4733">
                  <w:r>
                    <w:rPr>
                      <w:rtl/>
                    </w:rPr>
                    <w:t>288                                         ספר החוקים 1027                  כ"ד באייר התשמ"א 28.05.1981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00" o:spid="_x0000_s1026" type="#_x0000_t202" style="position:absolute;left:0;text-align:left;margin-left:98.7pt;margin-top:255.25pt;width:389.05pt;height:92.85pt;z-index:5;mso-wrap-style:none;mso-position-horizontal-relative:page;mso-position-vertical-relative:page" stroked="f">
            <v:textbox style="mso-next-textbox:#_x0000_s11300" inset="0,0,0,0">
              <w:txbxContent>
                <w:p w:rsidR="004A4733" w:rsidRDefault="004A4733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באייר התשמ"א (20 במאי 1981); הצעת החוק ודברי הסבר פורסמו בה"ח 1530, התשמ"א,</w:t>
                  </w:r>
                </w:p>
                <w:p w:rsidR="004A4733" w:rsidRDefault="004A4733">
                  <w:pPr>
                    <w:pStyle w:val="OCRStyle1"/>
                    <w:ind w:left="39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319.</w:t>
                  </w:r>
                </w:p>
                <w:p w:rsidR="004A4733" w:rsidRPr="004A4733" w:rsidRDefault="004A4733">
                  <w:pPr>
                    <w:pStyle w:val="OCRStyle1"/>
                    <w:ind w:left="20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התשי"ט, עמ' 72; התשל"ו, עמ' 93.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01" o:spid="_x0000_s1027" type="#_x0000_t202" style="position:absolute;left:0;text-align:left;margin-left:102.05pt;margin-top:190.5pt;width:78.4pt;height:31.1pt;z-index:4;mso-wrap-style:none;mso-position-horizontal-relative:page;mso-position-vertical-relative:page" stroked="f">
            <v:textbox style="mso-next-textbox:#_x0000_s11301" inset="0,0,0,0">
              <w:txbxContent>
                <w:p w:rsidR="004A4733" w:rsidRDefault="004A4733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4A4733" w:rsidRDefault="004A4733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02" o:spid="_x0000_s1028" type="#_x0000_t202" style="position:absolute;left:0;text-align:left;margin-left:399.05pt;margin-top:216.4pt;width:92.05pt;height:31.9pt;z-index:3;mso-wrap-style:none;mso-position-horizontal-relative:page;mso-position-vertical-relative:page" stroked="f">
            <v:textbox style="mso-next-textbox:#_x0000_s11302" inset="0,0,0,0">
              <w:txbxContent>
                <w:p w:rsidR="004A4733" w:rsidRDefault="004A4733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4A4733" w:rsidRDefault="004A4733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03" o:spid="_x0000_s1029" type="#_x0000_t202" style="position:absolute;left:0;text-align:left;margin-left:92.55pt;margin-top:101pt;width:471.85pt;height:77.6pt;z-index:2;mso-wrap-style:none;mso-position-horizontal-relative:page;mso-position-vertical-relative:page" stroked="f">
            <v:textbox style="mso-next-textbox:#_x0000_s11303" inset="0,0,0,0">
              <w:txbxContent>
                <w:tbl>
                  <w:tblPr>
                    <w:tblW w:w="50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71"/>
                    <w:gridCol w:w="1151"/>
                    <w:gridCol w:w="1357"/>
                  </w:tblGrid>
                  <w:tr w:rsidR="004A4733" w:rsidRPr="004A4733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4A4733" w:rsidRPr="004A4733" w:rsidRDefault="004A47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אחרי סעיף 3 לחוק לתיקון דיני המשפחה (מזונות), יהתשי"ט-1959 1, יבוא:</w:t>
                        </w:r>
                      </w:p>
                    </w:tc>
                    <w:tc>
                      <w:tcPr>
                        <w:tcW w:w="791" w:type="pct"/>
                      </w:tcPr>
                      <w:p w:rsidR="004A4733" w:rsidRPr="004A4733" w:rsidRDefault="004A47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3א</w:t>
                        </w:r>
                      </w:p>
                    </w:tc>
                  </w:tr>
                  <w:tr w:rsidR="004A4733">
                    <w:trPr>
                      <w:jc w:val="right"/>
                    </w:trPr>
                    <w:tc>
                      <w:tcPr>
                        <w:tcW w:w="3538" w:type="pct"/>
                      </w:tcPr>
                      <w:p w:rsidR="004A4733" w:rsidRDefault="004A47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(א) אביו ואמו של קטין חייבים במזונותיו.</w:t>
                        </w:r>
                      </w:p>
                      <w:p w:rsidR="004A4733" w:rsidRDefault="004A47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בלי להתחשב בעובדה בידי מי מוחזק קטין יחולו המזונות</w:t>
                        </w:r>
                      </w:p>
                      <w:p w:rsidR="004A4733" w:rsidRDefault="004A47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הוריו בשיעור יחסי להכנסותיהם מכל מקור שהוא."</w:t>
                        </w:r>
                      </w:p>
                    </w:tc>
                    <w:tc>
                      <w:tcPr>
                        <w:tcW w:w="671" w:type="pct"/>
                      </w:tcPr>
                      <w:p w:rsidR="004A4733" w:rsidRPr="004A4733" w:rsidRDefault="004A47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"מזונות קטין</w:t>
                        </w:r>
                      </w:p>
                    </w:tc>
                    <w:tc>
                      <w:tcPr>
                        <w:tcW w:w="791" w:type="pct"/>
                      </w:tcPr>
                      <w:p w:rsidR="004A4733" w:rsidRDefault="004A473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A4733" w:rsidRDefault="004A473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304" o:spid="_x0000_s1030" type="#_x0000_t202" style="position:absolute;left:0;text-align:left;margin-left:114.95pt;margin-top:77.05pt;width:347.9pt;height:17.05pt;z-index:1;mso-wrap-style:none;mso-position-horizontal-relative:page;mso-position-vertical-relative:page" stroked="f">
            <v:textbox style="mso-next-textbox:#_x0000_s11304" inset="0,0,0,0">
              <w:txbxContent>
                <w:p w:rsidR="004A4733" w:rsidRPr="004A4733" w:rsidRDefault="004A4733">
                  <w:pPr>
                    <w:pStyle w:val="OCRStyle1"/>
                    <w:ind w:left="16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דיני המשפחה (מזונות) (תיקון מס' 2), התשמ"א-1981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A473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473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3D91F9A-2B11-4C5C-9648-02A3B9EE2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A473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2008-04-07T00:49:00Z</dcterms:created>
  <dcterms:modified xsi:type="dcterms:W3CDTF">2008-04-07T00:49:00Z</dcterms:modified>
</cp:coreProperties>
</file>