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4B15" w:rsidRDefault="00184B15">
      <w:pPr>
        <w:rPr>
          <w:rtl/>
        </w:rPr>
      </w:pPr>
    </w:p>
    <w:p w:rsidR="00184B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2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427" inset="0,0,0,0">
              <w:txbxContent>
                <w:p w:rsidR="00184B15" w:rsidRDefault="00184B15">
                  <w:r>
                    <w:rPr>
                      <w:rtl/>
                    </w:rPr>
                    <w:t>134                                          ספר החוקים 803                   א' בניסן התשל"ו 01.04.1976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28" o:spid="_x0000_s1026" type="#_x0000_t202" style="position:absolute;left:0;text-align:left;margin-left:90.45pt;margin-top:667.5pt;width:381.55pt;height:75.85pt;z-index:6;mso-position-horizontal-relative:page;mso-position-vertical-relative:page" stroked="f">
            <v:textbox style="mso-next-textbox:#_x0000_s11428" inset="0,0,0,0">
              <w:txbxContent>
                <w:p w:rsidR="00184B15" w:rsidRDefault="00184B15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ב' תשל"ו (23 במרס 1878); הגעת החוק ודברי הסבר פורסמו בה''ח 1228, תשל"ו,</w:t>
                  </w:r>
                </w:p>
                <w:p w:rsidR="00184B15" w:rsidRDefault="00184B15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עמ' 175.</w:t>
                  </w:r>
                </w:p>
                <w:p w:rsidR="00184B15" w:rsidRDefault="00184B15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ס"ח תשל"ה, עמ' 14.</w:t>
                  </w:r>
                </w:p>
                <w:p w:rsidR="00184B15" w:rsidRDefault="00184B15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2 ס"ח תש"ך, עמ' .56</w:t>
                  </w:r>
                </w:p>
                <w:p w:rsidR="00184B15" w:rsidRPr="00184B15" w:rsidRDefault="00184B15">
                  <w:pPr>
                    <w:pStyle w:val="OCRStyle1"/>
                    <w:ind w:left="4136"/>
                  </w:pPr>
                  <w:r>
                    <w:rPr>
                      <w:rtl/>
                    </w:rPr>
                    <w:t>ספר החוקים 803, א' בניסן תשל''ו, 1.4.1976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29" o:spid="_x0000_s1027" type="#_x0000_t202" style="position:absolute;left:0;text-align:left;margin-left:114.4pt;margin-top:566.7pt;width:93.05pt;height:35.85pt;z-index:5;mso-position-horizontal-relative:page;mso-position-vertical-relative:page" stroked="f">
            <v:textbox style="mso-next-textbox:#_x0000_s11429" inset="0,0,0,0">
              <w:txbxContent>
                <w:p w:rsidR="00184B15" w:rsidRDefault="00184B15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אברהם עופר</w:t>
                  </w:r>
                </w:p>
                <w:p w:rsidR="00184B15" w:rsidRDefault="00184B15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30" o:spid="_x0000_s1028" type="#_x0000_t202" style="position:absolute;left:0;text-align:left;margin-left:233pt;margin-top:570.1pt;width:93.85pt;height:34.25pt;z-index:4;mso-position-horizontal-relative:page;mso-position-vertical-relative:page" stroked="f">
            <v:textbox style="mso-next-textbox:#_x0000_s11430" inset="0,0,0,0">
              <w:txbxContent>
                <w:p w:rsidR="00184B15" w:rsidRDefault="00184B15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84B15" w:rsidRDefault="00184B15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31" o:spid="_x0000_s1029" type="#_x0000_t202" style="position:absolute;left:0;text-align:left;margin-left:373pt;margin-top:592.45pt;width:104.15pt;height:40.8pt;z-index:3;mso-position-horizontal-relative:page;mso-position-vertical-relative:page" stroked="f">
            <v:textbox style="mso-next-textbox:#_x0000_s11431" inset="0,0,0,0">
              <w:txbxContent>
                <w:p w:rsidR="00184B15" w:rsidRDefault="00184B15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84B15" w:rsidRDefault="00184B15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32" o:spid="_x0000_s1030" type="#_x0000_t202" style="position:absolute;left:0;text-align:left;margin-left:86.3pt;margin-top:127.15pt;width:463.3pt;height:416.6pt;z-index:2;mso-position-horizontal-relative:page;mso-position-vertical-relative:page" stroked="f">
            <v:textbox style="mso-next-textbox:#_x0000_s1143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35"/>
                    <w:gridCol w:w="1517"/>
                    <w:gridCol w:w="1274"/>
                  </w:tblGrid>
                  <w:tr w:rsidR="00184B15" w:rsidRPr="00184B15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184B15" w:rsidRDefault="00184B1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המכר (דירות) (הבטחת השקעות של רוכשי דירות), תשל"ה--1974 1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העיקרי). בהגדרת "מכירה", במקום "לרבות החכרה לתקופה של עשרים</w:t>
                        </w:r>
                      </w:p>
                      <w:p w:rsidR="00184B15" w:rsidRP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 שנים או יותר" יבוא "לרכות שכירות לתקופה שלמעלה מעשרים וחמש שנים".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84B15" w:rsidRP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84B15" w:rsidRPr="00184B15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184B15" w:rsidRP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(4) לחוק העיקרי, במקום "סעיף 127" יבוא "סעיף 126".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84B15" w:rsidRP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184B15" w:rsidRPr="00184B15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184B15" w:rsidRP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 לחוק העיקרי יבוא: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84B15" w:rsidRP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</w:tc>
                  </w:tr>
                  <w:tr w:rsidR="00184B15" w:rsidRPr="00184B15">
                    <w:trPr>
                      <w:jc w:val="right"/>
                    </w:trPr>
                    <w:tc>
                      <w:tcPr>
                        <w:tcW w:w="3344" w:type="pct"/>
                      </w:tcPr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מוכר שהבטיח את כספי הקונה לפי סעיף 2 (1) או (2) יהיה רשאי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להחליף את הערובה באחת מדרכי הערובה לפי סעיף 2 (3), (4) או (5),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שהושלמה בניית הדירה ונמסרה ההחזקה בה לקונה, והכל אם לא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הותנה על דרך אחרת בחוזה המכר: אין בהוראות סעיף זה כדי לגרוע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3.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184B15" w:rsidRP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"החלפת ערובה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84B15" w:rsidRP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 ו-2ב</w:t>
                        </w:r>
                      </w:p>
                    </w:tc>
                  </w:tr>
                  <w:tr w:rsidR="00184B15">
                    <w:trPr>
                      <w:jc w:val="right"/>
                    </w:trPr>
                    <w:tc>
                      <w:tcPr>
                        <w:tcW w:w="3344" w:type="pct"/>
                      </w:tcPr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היתה הקרקע שעליה הדירה הנמכרת ממקרקעי ישראל כמשמעותם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בחוק-יסוד: מקרקעי ישראל 2, לא יהא המוכר חייב להבטיח את כספי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הקונה לפי סעיף 2 אלא לתקופה שתסתיים בהתמלא כל אלה: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הושלמה בניית הדירה בהתאם לחוזה המכר;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נמסרה ההחזקה בדירה לקונה: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נחתם חוזה כין הקונה לבין מינהל מקרקעי ישראל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המינהל) ובו התחייב המינהל להביא לידי רישום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הקונה כשוכר הדירה לתקופה שלמעלה מעשרים וחמש שנים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כשהיא נקיה מכל שעבוד או התחייבות לשעבוד, מעיקול,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ומכל זכות של צד שלישי, למעט שעבוד או התחייבות לשע-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בוד לחובת הקונה, ולפצות את הקונה אם לא יתמלאו התחיי-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בויות המינהל כאמור."</w:t>
                        </w:r>
                      </w:p>
                    </w:tc>
                    <w:tc>
                      <w:tcPr>
                        <w:tcW w:w="900" w:type="pct"/>
                      </w:tcPr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כספי קונה</w:t>
                        </w:r>
                      </w:p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יירה על מקרקעי</w:t>
                        </w:r>
                      </w:p>
                      <w:p w:rsidR="00184B15" w:rsidRP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84B15" w:rsidRPr="00184B15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 לחוק העיקרי, כסופו יבוא "לרבות תקנות הקובעות דרכי הוכחה בדבר</w:t>
                        </w:r>
                      </w:p>
                      <w:p w:rsidR="00184B15" w:rsidRP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השלמת בנייתה של דירה לענין סעיף 2א (1)".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84B15" w:rsidRPr="00184B15" w:rsidRDefault="0018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184B15" w:rsidRDefault="00184B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433" o:spid="_x0000_s1031" type="#_x0000_t202" style="position:absolute;left:0;text-align:left;margin-left:104.1pt;margin-top:76.05pt;width:359.35pt;height:43.55pt;z-index:1;mso-position-horizontal-relative:page;mso-position-vertical-relative:page" stroked="f">
            <v:textbox style="mso-next-textbox:#_x0000_s11433" inset="0,0,0,0">
              <w:txbxContent>
                <w:p w:rsidR="00184B15" w:rsidRDefault="00184B15">
                  <w:pPr>
                    <w:pStyle w:val="OCRStyle1"/>
                    <w:ind w:left="24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המכר (דירות) (הבטחת השקעות של רוכשי דירות) (תיקון),</w:t>
                  </w:r>
                </w:p>
                <w:p w:rsidR="00184B15" w:rsidRPr="00184B15" w:rsidRDefault="00184B15">
                  <w:pPr>
                    <w:pStyle w:val="OCRStyle1"/>
                    <w:ind w:left="264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84B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EA69F5-4B63-4C7B-AA91-A7B7C354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84B1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2008-04-06T22:38:00Z</dcterms:created>
  <dcterms:modified xsi:type="dcterms:W3CDTF">2008-04-06T22:39:00Z</dcterms:modified>
</cp:coreProperties>
</file>