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40C06" w:rsidRDefault="00840C06">
      <w:pPr>
        <w:rPr>
          <w:rtl/>
        </w:rPr>
      </w:pPr>
    </w:p>
    <w:p w:rsidR="00840C0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43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1434" inset="0,0,0,0">
              <w:txbxContent>
                <w:p w:rsidR="00502433" w:rsidRDefault="00502433">
                  <w:r>
                    <w:rPr>
                      <w:rtl/>
                    </w:rPr>
                    <w:t>196                                          ספר החוקים 908                     ז' באב התשל"ח 10.08.1978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35" o:spid="_x0000_s1026" type="#_x0000_t202" style="position:absolute;left:0;text-align:left;margin-left:87pt;margin-top:266.2pt;width:414.4pt;height:481.15pt;z-index:3;mso-position-horizontal-relative:page;mso-position-vertical-relative:page" stroked="f">
            <v:textbox style="mso-next-textbox:#_x0000_s11435" inset="0,0,0,0">
              <w:txbxContent>
                <w:p w:rsidR="00502433" w:rsidRDefault="00502433">
                  <w:pPr>
                    <w:pStyle w:val="OCRStyle1"/>
                    <w:ind w:left="3503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</w:t>
                  </w:r>
                </w:p>
                <w:p w:rsidR="00502433" w:rsidRDefault="00502433">
                  <w:pPr>
                    <w:pStyle w:val="OCRStyle1"/>
                    <w:ind w:left="3456"/>
                    <w:rPr>
                      <w:rtl/>
                    </w:rPr>
                  </w:pPr>
                  <w:r>
                    <w:rPr>
                      <w:rtl/>
                    </w:rPr>
                    <w:t>(סעיף 2)</w:t>
                  </w:r>
                </w:p>
                <w:p w:rsidR="00502433" w:rsidRDefault="00502433">
                  <w:pPr>
                    <w:pStyle w:val="OCRStyle1"/>
                    <w:ind w:left="1735"/>
                    <w:rPr>
                      <w:rtl/>
                    </w:rPr>
                  </w:pPr>
                  <w:r>
                    <w:rPr>
                      <w:rtl/>
                    </w:rPr>
                    <w:t>חוק אחיד לעשיית חוזים למכר טובין בין-לאומי</w:t>
                  </w:r>
                </w:p>
                <w:p w:rsidR="00502433" w:rsidRDefault="00502433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1. חוק זה יחול על עשיית חוזים למכר טובין, שבכריתתם היו מוסדרים בחוק האחיד</w:t>
                  </w:r>
                </w:p>
                <w:p w:rsidR="00502433" w:rsidRDefault="00502433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בדבר מכר טובין בין-לאומי 1.</w:t>
                  </w:r>
                </w:p>
                <w:p w:rsidR="00502433" w:rsidRDefault="00502433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2. (א) הוראות חוק זה יחולו במידה שלא משתמע מהמשא ומתן המוקדם, מההצעה,</w:t>
                  </w:r>
                </w:p>
                <w:p w:rsidR="00502433" w:rsidRDefault="00502433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מהתשובה, מדרכים שהצדדים קבעו ביניהם או מהנוהג, שחלים כללים אחרים.</w:t>
                  </w:r>
                </w:p>
                <w:p w:rsidR="00502433" w:rsidRDefault="00502433">
                  <w:pPr>
                    <w:pStyle w:val="OCRStyle1"/>
                    <w:ind w:left="871"/>
                    <w:rPr>
                      <w:rtl/>
                    </w:rPr>
                  </w:pPr>
                  <w:r>
                    <w:rPr>
                      <w:rtl/>
                    </w:rPr>
                    <w:t>(ב) על אף האמור, כל קביעה בהצעה שלפיה תיחשב שתיקה לקיבול - אין לה</w:t>
                  </w:r>
                </w:p>
                <w:p w:rsidR="00502433" w:rsidRDefault="00502433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תוקף.</w:t>
                  </w:r>
                </w:p>
                <w:p w:rsidR="00502433" w:rsidRDefault="00502433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3. הצעה או קיבול אינם טעונים ראיה בכתב, ואין הם כפופים לכל דרישה אחרת לענין</w:t>
                  </w:r>
                </w:p>
                <w:p w:rsidR="00502433" w:rsidRDefault="00502433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צורה; במיוחד ניתן להוכיחם כעדים.</w:t>
                  </w:r>
                </w:p>
                <w:p w:rsidR="00502433" w:rsidRDefault="00502433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4. (א) הודעה ששולח אדם לאדם פלוני או לבני אדם פלונים, במטרה לכרות הוזה</w:t>
                  </w:r>
                </w:p>
                <w:p w:rsidR="00502433" w:rsidRDefault="00502433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מכר, לא תהווה הצעה אלא אם היא מוגדרת דיה לאפשר כריתת החוזה כקיבולה, ומציינת</w:t>
                  </w:r>
                </w:p>
                <w:p w:rsidR="00502433" w:rsidRDefault="00502433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את כוונת המציע להתחייב.</w:t>
                  </w:r>
                </w:p>
                <w:p w:rsidR="00502433" w:rsidRDefault="00502433">
                  <w:pPr>
                    <w:pStyle w:val="OCRStyle1"/>
                    <w:ind w:left="886"/>
                    <w:rPr>
                      <w:rtl/>
                    </w:rPr>
                  </w:pPr>
                  <w:r>
                    <w:rPr>
                      <w:rtl/>
                    </w:rPr>
                    <w:t>(ב) הודעה זו יכול שתתפרש ותושלם על ידי המשא ומתן המוקדם, דרכים</w:t>
                  </w:r>
                </w:p>
                <w:p w:rsidR="00502433" w:rsidRDefault="00502433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שהצדדים קבעו ביניהם, הנוהג, והוראות החוק האחיד כדבר מכר טובין בין-לאומי.</w:t>
                  </w:r>
                </w:p>
                <w:p w:rsidR="00502433" w:rsidRDefault="00502433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5. (א) הצעה לא תחייב את המציע אלא לאחר שנמסרה לניצע; היא תפקע אם החזרה</w:t>
                  </w:r>
                </w:p>
                <w:p w:rsidR="00502433" w:rsidRDefault="00502433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ממנה נמסרה לניצע לפני מסירת ההצעה או בשעת מסירתה.</w:t>
                  </w:r>
                </w:p>
                <w:p w:rsidR="00502433" w:rsidRDefault="00502433">
                  <w:pPr>
                    <w:pStyle w:val="OCRStyle1"/>
                    <w:ind w:left="886"/>
                    <w:rPr>
                      <w:rtl/>
                    </w:rPr>
                  </w:pPr>
                  <w:r>
                    <w:rPr>
                      <w:rtl/>
                    </w:rPr>
                    <w:t>(כ) לאחר שנמסרה ההצעה לניצע ניתן לחזור ממנה, זולת אם החזרה באה שלא</w:t>
                  </w:r>
                </w:p>
                <w:p w:rsidR="00502433" w:rsidRDefault="00502433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בתום לב או שלא מתוך הגינות מסחרית, או אם ההצעה קובעת מועד קצוב לקיבול או</w:t>
                  </w:r>
                </w:p>
                <w:p w:rsidR="00502433" w:rsidRDefault="00502433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מציינת כדרך אחרת שהיא מחייכת או ללא חזרה.</w:t>
                  </w:r>
                </w:p>
                <w:p w:rsidR="00502433" w:rsidRDefault="00502433">
                  <w:pPr>
                    <w:pStyle w:val="OCRStyle1"/>
                    <w:ind w:left="889"/>
                    <w:rPr>
                      <w:rtl/>
                    </w:rPr>
                  </w:pPr>
                  <w:r>
                    <w:rPr>
                      <w:rtl/>
                    </w:rPr>
                    <w:t>(ג) הציון שההצעה מחייבת או ללא חזרה יכול שיחיה מפורש או משתמע מהנסיבות,</w:t>
                  </w:r>
                </w:p>
                <w:p w:rsidR="00502433" w:rsidRDefault="00502433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מהמשא ומתן המוקדם, מדרכים שהצדדים קבעו ביניהם או מהנוהג.</w:t>
                  </w:r>
                </w:p>
                <w:p w:rsidR="00502433" w:rsidRDefault="00502433">
                  <w:pPr>
                    <w:pStyle w:val="OCRStyle1"/>
                    <w:ind w:left="893"/>
                    <w:rPr>
                      <w:rtl/>
                    </w:rPr>
                  </w:pPr>
                  <w:r>
                    <w:rPr>
                      <w:rtl/>
                    </w:rPr>
                    <w:t>;ד) חזרה מהצעה יהיה לה תוקף רק אם נמסרה לניצע לפני ששלח את קיבולו</w:t>
                  </w:r>
                </w:p>
                <w:p w:rsidR="00502433" w:rsidRDefault="00502433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או ביצע כל פעולה שדינה כקיבול לפי סעיף 6 (ב).</w:t>
                  </w:r>
                </w:p>
                <w:p w:rsidR="00502433" w:rsidRDefault="00502433">
                  <w:pPr>
                    <w:pStyle w:val="OCRStyle1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בתמוז תשל"ח.(1 באוגוסט 1978); הצעת החוק ודברי הסבר פורסמו בה'"ח 1344,תשל"ח,</w:t>
                  </w:r>
                </w:p>
                <w:p w:rsidR="00502433" w:rsidRDefault="00502433">
                  <w:pPr>
                    <w:pStyle w:val="OCRStyle1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 xml:space="preserve">עמ'212.  </w:t>
                  </w:r>
                </w:p>
                <w:p w:rsidR="00502433" w:rsidRPr="00840C06" w:rsidRDefault="00502433">
                  <w:pPr>
                    <w:pStyle w:val="OCRStyle1"/>
                    <w:ind w:left="677"/>
                  </w:pPr>
                  <w:r>
                    <w:rPr>
                      <w:rtl/>
                    </w:rPr>
                    <w:t xml:space="preserve">1 ס"ח תשל"א, עמ' 42. 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36" o:spid="_x0000_s1027" type="#_x0000_t202" style="position:absolute;left:0;text-align:left;margin-left:89.55pt;margin-top:107.8pt;width:467.5pt;height:146.5pt;z-index:2;mso-position-horizontal-relative:page;mso-position-vertical-relative:page" stroked="f">
            <v:textbox style="mso-next-textbox:#_x0000_s1143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4"/>
                    <w:gridCol w:w="1214"/>
                  </w:tblGrid>
                  <w:tr w:rsidR="00502433" w:rsidRPr="00840C06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502433" w:rsidRDefault="005024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זה, "האמנה" - האמבה בדבר חרק אחיד לעשיית חוזים למכר טובין בין-לאומי</w:t>
                        </w:r>
                      </w:p>
                      <w:p w:rsidR="00502433" w:rsidRPr="00840C06" w:rsidRDefault="005024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שנחתמה בהאג ביום 1 ביולי .1964</w:t>
                        </w:r>
                      </w:p>
                    </w:tc>
                    <w:tc>
                      <w:tcPr>
                        <w:tcW w:w="714" w:type="pct"/>
                      </w:tcPr>
                      <w:p w:rsidR="00502433" w:rsidRPr="00840C06" w:rsidRDefault="005024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הגדרה</w:t>
                        </w:r>
                      </w:p>
                    </w:tc>
                  </w:tr>
                  <w:tr w:rsidR="00502433" w:rsidRPr="00840C06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502433" w:rsidRPr="00840C06" w:rsidRDefault="005024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לחוק האחיד שנספח לאמנה, בנוסח שבתוספת לחוק זה, יהיה תוקף של חוק.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502433" w:rsidRDefault="005024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החוק</w:t>
                        </w:r>
                      </w:p>
                      <w:p w:rsidR="00502433" w:rsidRPr="00840C06" w:rsidRDefault="005024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האחיד</w:t>
                        </w:r>
                      </w:p>
                    </w:tc>
                  </w:tr>
                  <w:tr w:rsidR="00502433" w:rsidRPr="00840C06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502433" w:rsidRDefault="005024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 חוק זה תחילתו מהיום שהאמנה תיכנס לתקפה לגבי ישראל; שר המשפטים יפרסם</w:t>
                        </w:r>
                      </w:p>
                      <w:p w:rsidR="00502433" w:rsidRPr="00840C06" w:rsidRDefault="005024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 הודעה כדבר היום האמור, והודעתו תשמש ראיה חותכת למועד תחילת חוק זה.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502433" w:rsidRPr="00840C06" w:rsidRDefault="005024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502433" w:rsidRPr="00840C06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502433" w:rsidRPr="00840C06" w:rsidRDefault="005024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 על עשיית חוזה לפני תחילתו של חוק זה יוסיף לחול הדין הקודם.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502433" w:rsidRPr="00840C06" w:rsidRDefault="005024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  <w:tr w:rsidR="00502433" w:rsidRPr="00840C06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502433" w:rsidRPr="00840C06" w:rsidRDefault="005024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 שר המשפטים ממונה על ביצוע חוק זה.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502433" w:rsidRPr="00840C06" w:rsidRDefault="005024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502433" w:rsidRDefault="0050243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437" o:spid="_x0000_s1028" type="#_x0000_t202" style="position:absolute;left:0;text-align:left;margin-left:110.55pt;margin-top:68.2pt;width:378.4pt;height:35.45pt;z-index:1;mso-position-horizontal-relative:page;mso-position-vertical-relative:page" stroked="f">
            <v:textbox style="mso-next-textbox:#_x0000_s11437" inset="0,0,0,0">
              <w:txbxContent>
                <w:p w:rsidR="00502433" w:rsidRPr="00840C06" w:rsidRDefault="00502433">
                  <w:pPr>
                    <w:pStyle w:val="OCRStyle1"/>
                    <w:ind w:left="20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המכר (עשיית חוזים למכר טובין בין-לאומי), תשל"ח-1978 *</w:t>
                  </w:r>
                </w:p>
              </w:txbxContent>
            </v:textbox>
            <w10:wrap anchorx="page" anchory="page"/>
          </v:shape>
        </w:pict>
      </w:r>
    </w:p>
    <w:p w:rsidR="00502433" w:rsidRDefault="00502433">
      <w:pPr>
        <w:rPr>
          <w:rtl/>
        </w:rPr>
      </w:pPr>
      <w:r>
        <w:rPr>
          <w:rtl/>
        </w:rPr>
        <w:br w:type="page"/>
      </w:r>
    </w:p>
    <w:p w:rsidR="00502433" w:rsidRDefault="00000000">
      <w:pPr>
        <w:rPr>
          <w:rtl/>
        </w:rPr>
      </w:pPr>
      <w:r>
        <w:pict>
          <v:shape id="_x0000_s11438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1438" inset="0,0,0,0">
              <w:txbxContent>
                <w:p w:rsidR="00502433" w:rsidRDefault="00502433">
                  <w:r>
                    <w:rPr>
                      <w:rtl/>
                    </w:rPr>
                    <w:t>197                                          ספר החוקים 908                     ז' באב התשל"ח 10.08.1978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39" o:spid="_x0000_s1030" type="#_x0000_t202" style="position:absolute;left:0;text-align:left;margin-left:373.2pt;margin-top:726.1pt;width:160.95pt;height:21pt;z-index:9;mso-position-horizontal-relative:page;mso-position-vertical-relative:page" stroked="f">
            <v:textbox style="mso-next-textbox:#_x0000_s11439" inset="0,0,0,0">
              <w:txbxContent>
                <w:p w:rsidR="00502433" w:rsidRDefault="0050243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1440" o:spid="_x0000_s1031" type="#_x0000_t202" style="position:absolute;left:0;text-align:left;margin-left:156.6pt;margin-top:655.8pt;width:101.55pt;height:40.2pt;z-index:8;mso-position-horizontal-relative:page;mso-position-vertical-relative:page" stroked="f">
            <v:textbox style="mso-next-textbox:#_x0000_s11440" inset="0,0,0,0">
              <w:txbxContent>
                <w:p w:rsidR="00502433" w:rsidRDefault="00502433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502433" w:rsidRDefault="00502433">
                  <w:pPr>
                    <w:pStyle w:val="OCRStyle2"/>
                    <w:ind w:left="18"/>
                  </w:pPr>
                  <w:r>
                    <w:rPr>
                      <w:rtl/>
                    </w:rPr>
                    <w:t>. 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41" o:spid="_x0000_s1032" type="#_x0000_t202" style="position:absolute;left:0;text-align:left;margin-left:277.35pt;margin-top:653.25pt;width:100pt;height:41pt;z-index:7;mso-position-horizontal-relative:page;mso-position-vertical-relative:page" stroked="f">
            <v:textbox style="mso-next-textbox:#_x0000_s11441" inset="0,0,0,0">
              <w:txbxContent>
                <w:p w:rsidR="00502433" w:rsidRDefault="00502433">
                  <w:pPr>
                    <w:pStyle w:val="OCRStyle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502433" w:rsidRDefault="00502433">
                  <w:pPr>
                    <w:pStyle w:val="OCRStyle2"/>
                    <w:ind w:left="2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42" o:spid="_x0000_s1033" type="#_x0000_t202" style="position:absolute;left:0;text-align:left;margin-left:425.85pt;margin-top:677.6pt;width:121.75pt;height:46.15pt;z-index:6;mso-position-horizontal-relative:page;mso-position-vertical-relative:page" stroked="f">
            <v:textbox style="mso-next-textbox:#_x0000_s11442" inset="0,0,0,0">
              <w:txbxContent>
                <w:p w:rsidR="00502433" w:rsidRDefault="00502433">
                  <w:pPr>
                    <w:pStyle w:val="OCRStyle2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יצחק נכון</w:t>
                  </w:r>
                </w:p>
                <w:p w:rsidR="00502433" w:rsidRDefault="00502433">
                  <w:pPr>
                    <w:pStyle w:val="OCRStyle2"/>
                    <w:ind w:left="45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43" o:spid="_x0000_s1034" type="#_x0000_t202" style="position:absolute;left:0;text-align:left;margin-left:134pt;margin-top:70.9pt;width:406.9pt;height:568.85pt;z-index:5;mso-position-horizontal-relative:page;mso-position-vertical-relative:page" stroked="f">
            <v:textbox style="mso-next-textbox:#_x0000_s11443" inset="0,0,0,0">
              <w:txbxContent>
                <w:p w:rsidR="00502433" w:rsidRDefault="00502433">
                  <w:pPr>
                    <w:pStyle w:val="OCRStyle2"/>
                    <w:ind w:left="557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ו</w:t>
                  </w:r>
                </w:p>
                <w:p w:rsidR="00502433" w:rsidRDefault="00502433">
                  <w:pPr>
                    <w:pStyle w:val="OCRStyle2"/>
                    <w:ind w:left="37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6. (א) קיבול ההצעה הוא כהצהרה הנמסרת בכל דרך שהיא למציע.</w:t>
                  </w:r>
                </w:p>
                <w:p w:rsidR="00502433" w:rsidRDefault="00502433">
                  <w:pPr>
                    <w:pStyle w:val="OCRStyle2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(ב) הקיבול יכול שיהיה גם במשלוח הטובין או המחיר, או בכל פעולה אחרת שניתן</w:t>
                  </w:r>
                </w:p>
                <w:p w:rsidR="00502433" w:rsidRDefault="00502433">
                  <w:pPr>
                    <w:pStyle w:val="OCRStyle2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לראותה, אם מכוח ההצעה או כתוצאה מדרכים שהצדדים קבעו ביניהם או מהנוהג, כשוות</w:t>
                  </w:r>
                </w:p>
                <w:p w:rsidR="00502433" w:rsidRDefault="00502433">
                  <w:pPr>
                    <w:pStyle w:val="OCRStyle2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ערך להצהרה הנזכרת בסעיף קטן (א).</w:t>
                  </w:r>
                </w:p>
                <w:p w:rsidR="00502433" w:rsidRDefault="00502433">
                  <w:pPr>
                    <w:pStyle w:val="OCRStyle2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7. (א) קיבול שיש בו תוספת, הגבלה או שינוי אחר, כמוהו כדחיית ההצעה ודינו</w:t>
                  </w:r>
                </w:p>
                <w:p w:rsidR="00502433" w:rsidRDefault="00502433">
                  <w:pPr>
                    <w:pStyle w:val="OCRStyle2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כהצעה נגדית.</w:t>
                  </w:r>
                </w:p>
                <w:p w:rsidR="00502433" w:rsidRDefault="00502433">
                  <w:pPr>
                    <w:pStyle w:val="OCRStyle2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(ב) על אף האמור, תשובה להצעה הנחזית כקיבול, אך יש בה תנאי נוסף או שונה</w:t>
                  </w:r>
                </w:p>
                <w:p w:rsidR="00502433" w:rsidRDefault="00502433">
                  <w:pPr>
                    <w:pStyle w:val="OCRStyle2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שאינו משנה באורח ממשי את תנאי ההצעה, דינה כקיבול, זולת אם התנגד המציע מיד</w:t>
                  </w:r>
                </w:p>
                <w:p w:rsidR="00502433" w:rsidRDefault="00502433">
                  <w:pPr>
                    <w:pStyle w:val="OCRStyle2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לאי-ההתאמה; לא התנגד כך, יהיו תנאי החוזה תנאי ההצעה בצירוף השינויים שנכללו</w:t>
                  </w:r>
                </w:p>
                <w:p w:rsidR="00502433" w:rsidRDefault="00502433">
                  <w:pPr>
                    <w:pStyle w:val="OCRStyle2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בקיבול.</w:t>
                  </w:r>
                </w:p>
                <w:p w:rsidR="00502433" w:rsidRDefault="00502433">
                  <w:pPr>
                    <w:pStyle w:val="OCRStyle2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8. (א) הצהרה בדבר קיבול יהיה לה תוקף רק אם נמסרה למציע תוך המועד שקבע,</w:t>
                  </w:r>
                </w:p>
                <w:p w:rsidR="00502433" w:rsidRDefault="00502433">
                  <w:pPr>
                    <w:pStyle w:val="OCRStyle2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או, אם לא נקבע מועד כאמור - תוך זמן סביר, בהתחשב כראוי בנסיבות העסקה, לרבות</w:t>
                  </w:r>
                </w:p>
                <w:p w:rsidR="00502433" w:rsidRDefault="00502433">
                  <w:pPr>
                    <w:pStyle w:val="OCRStyle2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מהירותם של אמצעי התקשורת שהשתמש בהם המציע, ובנוהג; היתה ההצעה בעל פה יהא</w:t>
                  </w:r>
                </w:p>
                <w:p w:rsidR="00502433" w:rsidRDefault="00502433">
                  <w:pPr>
                    <w:pStyle w:val="OCRStyle2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הקיבול על-אתר, אם אין הנסיבות מראות שניתן לניצע זמן לשקול בדעתו.</w:t>
                  </w:r>
                </w:p>
                <w:p w:rsidR="00502433" w:rsidRDefault="00502433">
                  <w:pPr>
                    <w:pStyle w:val="OCRStyle2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(ב) קבע המציע זמן לקיבול במכתב או במברק, חזקה שהזמן התחיל כתאריך המכתב</w:t>
                  </w:r>
                </w:p>
                <w:p w:rsidR="00502433" w:rsidRDefault="00502433">
                  <w:pPr>
                    <w:pStyle w:val="OCRStyle2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או בשעה שבה נמסר המברק למשלוח.</w:t>
                  </w:r>
                </w:p>
                <w:p w:rsidR="00502433" w:rsidRDefault="00502433">
                  <w:pPr>
                    <w:pStyle w:val="OCRStyle2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(ג) היה הקיבול פעולה הנזכרת בסעיף 6 (ב), יהיה לפעולה תוקף רק אם נעשתה</w:t>
                  </w:r>
                </w:p>
                <w:p w:rsidR="00502433" w:rsidRDefault="00502433">
                  <w:pPr>
                    <w:pStyle w:val="OCRStyle2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תוך פרק הזמן שנקבע בסעיף קטן (א) לסעיף זה.</w:t>
                  </w:r>
                </w:p>
                <w:p w:rsidR="00502433" w:rsidRDefault="00502433">
                  <w:pPr>
                    <w:pStyle w:val="OCRStyle2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9. (א) קיבול שבא באיחור רשאי המציע לראותו כאילו הגיע כעוד מועד, ובלבד</w:t>
                  </w:r>
                </w:p>
                <w:p w:rsidR="00502433" w:rsidRDefault="00502433">
                  <w:pPr>
                    <w:pStyle w:val="OCRStyle2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שהודיע על כך מיד למקבל, בעל פה או במשלוח הודעה.</w:t>
                  </w:r>
                </w:p>
                <w:p w:rsidR="00502433" w:rsidRDefault="00502433">
                  <w:pPr>
                    <w:pStyle w:val="OCRStyle2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(ב) על אף האמור, אם נמסר הקיבול באיחור, יראוהו כאילו נמסר בעוד מועד</w:t>
                  </w:r>
                </w:p>
                <w:p w:rsidR="00502433" w:rsidRDefault="00502433">
                  <w:pPr>
                    <w:pStyle w:val="OCRStyle2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אם המכתב או המסמך המכיל את הקיבול הראה כי הקיבול נשלח כנסיבות שאילו היתה</w:t>
                  </w:r>
                </w:p>
                <w:p w:rsidR="00502433" w:rsidRDefault="00502433">
                  <w:pPr>
                    <w:pStyle w:val="OCRStyle2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ההעברה תקינה, היה נמסר בעוד מועד; הוראה זו לא תחול אם הודיע המציע למקבל מיד,</w:t>
                  </w:r>
                </w:p>
                <w:p w:rsidR="00502433" w:rsidRDefault="00502433">
                  <w:pPr>
                    <w:pStyle w:val="OCRStyle2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בעל פה או במשלוח הודעה, כי הוא רואה את הצעתו כהצעה שפקעה.</w:t>
                  </w:r>
                </w:p>
                <w:p w:rsidR="00502433" w:rsidRDefault="00502433">
                  <w:pPr>
                    <w:pStyle w:val="OCRStyle2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10. אין לחזור מקיבול אלא בחזרה ממנו הנמסרת למציע לפני הקיבול או בשעתו.</w:t>
                  </w:r>
                </w:p>
                <w:p w:rsidR="00502433" w:rsidRDefault="00502433">
                  <w:pPr>
                    <w:pStyle w:val="OCRStyle2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11. כריתת החוזה לא תיפגע בשל מות אחד הצדדים, או בשל היותו לבלתי כשיר להתקשר</w:t>
                  </w:r>
                </w:p>
                <w:p w:rsidR="00502433" w:rsidRDefault="00502433">
                  <w:pPr>
                    <w:pStyle w:val="OCRStyle2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בחוזה, לפני הקיבול, אלא אם משתמע אחרת מכוונת הצדדים, מן הנוהג או מטיבה של</w:t>
                  </w:r>
                </w:p>
                <w:p w:rsidR="00502433" w:rsidRDefault="00502433">
                  <w:pPr>
                    <w:pStyle w:val="OCRStyle2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העסקה.</w:t>
                  </w:r>
                </w:p>
                <w:p w:rsidR="00502433" w:rsidRDefault="00502433">
                  <w:pPr>
                    <w:pStyle w:val="OCRStyle2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12. (א) לענין חוק זה, "מסירה" - מסירה במענו של האדם שאליו מופנית ההודעה.</w:t>
                  </w:r>
                </w:p>
                <w:p w:rsidR="00502433" w:rsidRDefault="00502433">
                  <w:pPr>
                    <w:pStyle w:val="OCRStyle2"/>
                    <w:ind w:left="785"/>
                    <w:rPr>
                      <w:rtl/>
                    </w:rPr>
                  </w:pPr>
                  <w:r>
                    <w:rPr>
                      <w:rtl/>
                    </w:rPr>
                    <w:t>(ב) מסירה כאמור כחוק זה תבוצע באמצעים המקובלים כנסיבות הענין,</w:t>
                  </w:r>
                </w:p>
                <w:p w:rsidR="00502433" w:rsidRDefault="00502433">
                  <w:pPr>
                    <w:pStyle w:val="OCRStyle2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13. (א) לענין חוק זה, "נוהג" - דרך עשייה שבני אדם סבירים, במצבם של הצדדים,</w:t>
                  </w:r>
                </w:p>
                <w:p w:rsidR="00502433" w:rsidRDefault="00502433">
                  <w:pPr>
                    <w:pStyle w:val="OCRStyle2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רואים אותה ברגיל כחלה על עשיית חוזה ביניהם.</w:t>
                  </w:r>
                </w:p>
                <w:p w:rsidR="00502433" w:rsidRDefault="00502433">
                  <w:pPr>
                    <w:pStyle w:val="OCRStyle2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(ב) מקום שנזקקים לביטויים, להוראות או לצורות חוזה, שנוהגים להשתמש בהם</w:t>
                  </w:r>
                </w:p>
                <w:p w:rsidR="00502433" w:rsidRPr="00502433" w:rsidRDefault="00502433">
                  <w:pPr>
                    <w:pStyle w:val="OCRStyle2"/>
                    <w:ind w:left="335"/>
                  </w:pPr>
                  <w:r>
                    <w:rPr>
                      <w:rtl/>
                    </w:rPr>
                    <w:t>בהליכות סחר, הם יפורשו בהתאם למשמעות הנודעת להם כרגיל בסחר הנדון.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40C0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0C0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F2E5783-82C3-4572-AFD8-C731AC15A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40C0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0243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2008-04-06T23:44:00Z</dcterms:created>
  <dcterms:modified xsi:type="dcterms:W3CDTF">2008-04-06T23:44:00Z</dcterms:modified>
</cp:coreProperties>
</file>