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009E" w:rsidRDefault="0088009E">
      <w:pPr>
        <w:rPr>
          <w:rtl/>
        </w:rPr>
      </w:pPr>
    </w:p>
    <w:p w:rsidR="008800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689" inset="0,0,0,0">
              <w:txbxContent>
                <w:p w:rsidR="00615D16" w:rsidRDefault="00615D16">
                  <w:r>
                    <w:rPr>
                      <w:rtl/>
                    </w:rPr>
                    <w:t>96                                           ספר החוקים 690                   ד' בניסן התשל"ג 06.04.1973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90" o:spid="_x0000_s1026" type="#_x0000_t202" style="position:absolute;left:0;text-align:left;margin-left:80.95pt;margin-top:657.55pt;width:397pt;height:81pt;z-index:3;mso-position-horizontal-relative:page;mso-position-vertical-relative:page" stroked="f">
            <v:textbox style="mso-next-textbox:#_x0000_s11690" inset="0,0,0,0">
              <w:txbxContent>
                <w:p w:rsidR="00615D16" w:rsidRDefault="00615D16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באדר ב'. תשל"ג (29 במרס 1973); הגעת החוק ודברי הסבר פורסמו בה"ח 1047, תשל''ג,</w:t>
                  </w:r>
                </w:p>
                <w:p w:rsidR="00615D16" w:rsidRDefault="00615D16">
                  <w:pPr>
                    <w:pStyle w:val="OCRStyle1"/>
                    <w:ind w:left="6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182.</w:t>
                  </w:r>
                </w:p>
                <w:p w:rsidR="00615D16" w:rsidRDefault="00615D16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120.</w:t>
                  </w:r>
                </w:p>
                <w:p w:rsidR="00615D16" w:rsidRPr="0088009E" w:rsidRDefault="00615D16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תשי"ז, עמ'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91" o:spid="_x0000_s1027" type="#_x0000_t202" style="position:absolute;left:0;text-align:left;margin-left:86.1pt;margin-top:99pt;width:479.55pt;height:555.2pt;z-index:2;mso-position-horizontal-relative:page;mso-position-vertical-relative:page" stroked="f">
            <v:textbox style="mso-next-textbox:#_x0000_s1169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5"/>
                    <w:gridCol w:w="1685"/>
                  </w:tblGrid>
                  <w:tr w:rsidR="00615D16" w:rsidRPr="0088009E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615D16" w:rsidRDefault="00615D16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בחוק זה -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הפקודה),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"הכנסת עבודה" - לרבות קצבה;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"מעביד" - כל המשלם הכנסת עבודה או האחראי לתשלומה;</w:t>
                        </w:r>
                      </w:p>
                      <w:p w:rsidR="00615D16" w:rsidRPr="0088009E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ו' בתשרי תשל"ז (30 בספטמבר 1976).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615D16" w:rsidRPr="0088009E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 הגדרות</w:t>
                        </w:r>
                      </w:p>
                    </w:tc>
                  </w:tr>
                  <w:tr w:rsidR="00615D16" w:rsidRPr="0088009E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615D16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מעביד יהא חייב למדינה בשנת המס 1973 במילווה חסכון בשיעור של 5% מסך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כל הכנסת עבודה ששילם בשנת המס 1973 (להלן - המילווה).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יחול, על אף האמור בכל דין, גם על חבר-בני-אדם שדינו לענין</w:t>
                        </w:r>
                      </w:p>
                      <w:p w:rsidR="00615D16" w:rsidRPr="0088009E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מסים, אגרות ותשלומי חובה אחרים כדין המדינה.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615D16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615D16" w:rsidRPr="0088009E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615D16" w:rsidRPr="0088009E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615D16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מעביד ישלם לפקיד השומה את המילווה במועד שנקבע ויגיש לו באותו מועד דין</w:t>
                        </w:r>
                      </w:p>
                      <w:p w:rsidR="00615D16" w:rsidRPr="0088009E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כפי שנקבע בתקנות.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615D16" w:rsidRPr="0088009E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המילווה</w:t>
                        </w:r>
                      </w:p>
                    </w:tc>
                  </w:tr>
                  <w:tr w:rsidR="00615D16" w:rsidRPr="0088009E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615D16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מעביד שלא שילם את המילווה או לא מסר לפקיד השומה דו"ח או מסר דו"ח אך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יש טעמים סבירים להניח שהדו"ח איננו נכון - רשאי פקיד השומה לשום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מיטב שפיטתו את סכום המילווה ודין שומה לפי סעיף זה כדין שומה לפי סעיף 167</w:t>
                        </w:r>
                      </w:p>
                      <w:p w:rsidR="00615D16" w:rsidRPr="0088009E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615D16" w:rsidRPr="0088009E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שומת המילווה</w:t>
                        </w:r>
                      </w:p>
                    </w:tc>
                  </w:tr>
                  <w:tr w:rsidR="00615D16" w:rsidRPr="0088009E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615D16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המילווה ישא ריבית בשיעור של 5% לשנה החל מיום ט' בניסן תשל"ד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1974).</w:t>
                        </w:r>
                      </w:p>
                      <w:p w:rsidR="00615D16" w:rsidRPr="0088009E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615D16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615D16" w:rsidRPr="0088009E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615D16" w:rsidRPr="0088009E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615D16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בסעיף זה -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תשי"ז-1958 2;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מדד יוקר המחיה שיתפרסם לדצמבר 1973;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יוני שלפני מועד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הפרעון.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התברר בעת פרעונו של חלק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סלוני של המילווה כי המדד החדש עולה צ? המדד היסודי, ייפרע המילווה כשהוא מוגדל</w:t>
                        </w:r>
                      </w:p>
                      <w:p w:rsidR="00615D16" w:rsidRPr="0088009E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 לשיעור העליה של המדד החדש.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615D16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615D16" w:rsidRPr="0088009E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</w:tr>
                  <w:tr w:rsidR="00615D16" w:rsidRPr="0088009E">
                    <w:trPr>
                      <w:jc w:val="right"/>
                    </w:trPr>
                    <w:tc>
                      <w:tcPr>
                        <w:tcW w:w="4034" w:type="pct"/>
                      </w:tcPr>
                      <w:p w:rsidR="00615D16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על סכום מילוות ששילם מעביד עד התאריך הקובע, יינתנו לו תעודות רשומות</w:t>
                        </w:r>
                      </w:p>
                      <w:p w:rsidR="00615D16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שמו, עד ליום י"ג בניסן תשל"ז (1 באפריל 1977).</w:t>
                        </w:r>
                      </w:p>
                      <w:p w:rsidR="00615D16" w:rsidRPr="0088009E" w:rsidRDefault="00615D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יהיו רק על סכום לירות המתחלק לחמש ללא יתרה.</w:t>
                        </w:r>
                      </w:p>
                    </w:tc>
                    <w:tc>
                      <w:tcPr>
                        <w:tcW w:w="966" w:type="pct"/>
                      </w:tcPr>
                      <w:p w:rsidR="00615D16" w:rsidRPr="0088009E" w:rsidRDefault="00615D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מילתה</w:t>
                        </w:r>
                      </w:p>
                    </w:tc>
                  </w:tr>
                </w:tbl>
                <w:p w:rsidR="00615D16" w:rsidRDefault="00615D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92" o:spid="_x0000_s1028" type="#_x0000_t202" style="position:absolute;left:0;text-align:left;margin-left:182.55pt;margin-top:77.4pt;width:197.2pt;height:17.25pt;z-index:1;mso-position-horizontal-relative:page;mso-position-vertical-relative:page" stroked="f">
            <v:textbox style="mso-next-textbox:#_x0000_s11692" inset="0,0,0,0">
              <w:txbxContent>
                <w:p w:rsidR="00615D16" w:rsidRPr="0088009E" w:rsidRDefault="00615D16">
                  <w:pPr>
                    <w:pStyle w:val="OCRStyle1"/>
                    <w:ind w:left="15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מילווה חסכון, תשל"ג-1973*</w:t>
                  </w:r>
                </w:p>
              </w:txbxContent>
            </v:textbox>
            <w10:wrap anchorx="page" anchory="page"/>
          </v:shape>
        </w:pict>
      </w:r>
    </w:p>
    <w:p w:rsidR="00615D16" w:rsidRDefault="00615D16">
      <w:pPr>
        <w:rPr>
          <w:rtl/>
        </w:rPr>
      </w:pPr>
      <w:r>
        <w:rPr>
          <w:rtl/>
        </w:rPr>
        <w:br w:type="page"/>
      </w:r>
    </w:p>
    <w:p w:rsidR="00615D16" w:rsidRDefault="00000000">
      <w:pPr>
        <w:rPr>
          <w:rtl/>
        </w:rPr>
      </w:pPr>
      <w:r>
        <w:pict>
          <v:shape id="_x0000_s1169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693" inset="0,0,0,0">
              <w:txbxContent>
                <w:p w:rsidR="00615D16" w:rsidRDefault="00615D16">
                  <w:r>
                    <w:rPr>
                      <w:rtl/>
                    </w:rPr>
                    <w:t>97                                           ספר החוקים 690                   ד' בניסן התשל"ג 06.04.1973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94" o:spid="_x0000_s1030" type="#_x0000_t202" style="position:absolute;left:0;text-align:left;margin-left:371.3pt;margin-top:677.55pt;width:187.7pt;height:79.2pt;z-index:9;mso-position-horizontal-relative:page;mso-position-vertical-relative:page" stroked="f">
            <v:textbox style="mso-next-textbox:#_x0000_s11694" inset="0,0,0,0">
              <w:txbxContent>
                <w:p w:rsidR="00615D16" w:rsidRPr="00615D16" w:rsidRDefault="00615D16">
                  <w:pPr>
                    <w:pStyle w:val="OCRStyle2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תשכ"ז,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95" o:spid="_x0000_s1031" type="#_x0000_t202" style="position:absolute;left:0;text-align:left;margin-left:182.8pt;margin-top:571.6pt;width:87.7pt;height:40.4pt;z-index:8;mso-position-horizontal-relative:page;mso-position-vertical-relative:page" stroked="f">
            <v:textbox style="mso-next-textbox:#_x0000_s11695" inset="0,0,0,0">
              <w:txbxContent>
                <w:p w:rsidR="00615D16" w:rsidRDefault="00615D16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15D16" w:rsidRDefault="00615D16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96" o:spid="_x0000_s1032" type="#_x0000_t202" style="position:absolute;left:0;text-align:left;margin-left:302.4pt;margin-top:573.4pt;width:102.55pt;height:36.05pt;z-index:7;mso-position-horizontal-relative:page;mso-position-vertical-relative:page" stroked="f">
            <v:textbox style="mso-next-textbox:#_x0000_s11696" inset="0,0,0,0">
              <w:txbxContent>
                <w:p w:rsidR="00615D16" w:rsidRDefault="00615D16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15D16" w:rsidRDefault="00615D16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97" o:spid="_x0000_s1033" type="#_x0000_t202" style="position:absolute;left:0;text-align:left;margin-left:419.6pt;margin-top:606.05pt;width:143.75pt;height:39.6pt;z-index:6;mso-position-horizontal-relative:page;mso-position-vertical-relative:page" stroked="f">
            <v:textbox style="mso-next-textbox:#_x0000_s11697" inset="0,0,0,0">
              <w:txbxContent>
                <w:p w:rsidR="00615D16" w:rsidRDefault="00615D16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15D16" w:rsidRDefault="00615D16">
                  <w:pPr>
                    <w:pStyle w:val="OCRStyle2"/>
                    <w:ind w:left="8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98" o:spid="_x0000_s1034" type="#_x0000_t202" style="position:absolute;left:0;text-align:left;margin-left:101pt;margin-top:82.55pt;width:452.85pt;height:461.55pt;z-index:5;mso-position-horizontal-relative:page;mso-position-vertical-relative:page" stroked="f">
            <v:textbox style="mso-next-textbox:#_x0000_s1169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7085"/>
                  </w:tblGrid>
                  <w:tr w:rsidR="00615D16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3" w:type="pct"/>
                      </w:tcPr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ועדת הכספים של הכנסת, יקבע בתקנות את ההוראות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 וכן בדבר היתרות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שסכומן קטן מהערך הנקוב הנמוך ביותר של תעודות המילווה.</w:t>
                        </w:r>
                      </w:p>
                    </w:tc>
                  </w:tr>
                  <w:tr w:rsidR="00615D16" w:rsidRPr="00615D16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15D16" w:rsidRP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ושיעבוד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תעודות המילווה לא יהיו סחירות, לא יהיו ניתנות להעברה פרט להעברות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הדין, ולא יהיו ניתנות לשעבוד, פרט לשעבוד כבטוחה לחיוב שהמדינה ערבה לו,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כבטוחה לטובת המדינה בעד ערכותה.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שועבדו תעודות המילווה או הזכות לקבלתן, תהיה למי שלטובתו נעשה השעבוד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עדיפות להיפרע מהתעודות על פני כל נושה אחר, אף שלא נתמלאו תנאי סעיף 4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המשכון, תשכ"ז-1967 3.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לבנק ישראל תינתן הודעה על תעודות המילווה ששועבדו או שהזכות לקבלתן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שועבדה.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יקבע בתקנות הוראות לענין מתן ההודעה לבנק ישראל והרישומים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שיעשה בנק ישראל, וכן למי יימסרו תעודות המילווה שהן או הזכות לקבלתן שועבדו או</w:t>
                        </w:r>
                      </w:p>
                      <w:p w:rsidR="00615D16" w:rsidRP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פדיונן של תעודות כאמור.</w:t>
                        </w:r>
                      </w:p>
                    </w:tc>
                  </w:tr>
                  <w:tr w:rsidR="00615D16" w:rsidRPr="00615D16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15D16" w:rsidRP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סך כל סכומי המילווה והריבית שעליו ייפרעו בשלושה שיעורים שנתיים רצופים</w:t>
                        </w:r>
                      </w:p>
                      <w:p w:rsidR="00615D16" w:rsidRP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באוגוסט של כל שנה, החל בשנת .1977</w:t>
                        </w:r>
                      </w:p>
                    </w:tc>
                  </w:tr>
                  <w:tr w:rsidR="00615D16" w:rsidRPr="00615D16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שלא שולט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התאריך</w:t>
                        </w:r>
                      </w:p>
                      <w:p w:rsidR="00615D16" w:rsidRP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הקובע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שר האוצר, באישור ועדת הכספים של הכנסת, רשאי לקבוע בתקנות מה יהיה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מילווה שלא שולם עד התאריך הקובע; בתקנות אלה ניתן גם לקבוע, כי המילווה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ייהפך למס או שלא ייגבה.</w:t>
                        </w:r>
                      </w:p>
                      <w:p w:rsid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יכול שיהיו כלליות או לסוגים של חייבים במילווה</w:t>
                        </w:r>
                      </w:p>
                      <w:p w:rsidR="00615D16" w:rsidRP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 או לפי מבחנים אחרים שנקבעו.</w:t>
                        </w:r>
                      </w:p>
                    </w:tc>
                  </w:tr>
                  <w:tr w:rsidR="00615D16" w:rsidRPr="00615D16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615D16" w:rsidRP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הוראות הפקודה יחולו על המילווה כאילו היה חלק מהמס, והוא במידה שאין בחוק</w:t>
                        </w:r>
                      </w:p>
                      <w:p w:rsidR="00615D16" w:rsidRP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אחרת לאותו ענין.</w:t>
                        </w:r>
                      </w:p>
                    </w:tc>
                  </w:tr>
                  <w:tr w:rsidR="00615D16" w:rsidRPr="00615D16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615D16" w:rsidRP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03" w:type="pct"/>
                      </w:tcPr>
                      <w:p w:rsidR="00615D16" w:rsidRDefault="00615D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האוצר ממונה על ביצוע חוק זה והוא רשאי להתקין תקנות ככל דבר הנוגע</w:t>
                        </w:r>
                      </w:p>
                      <w:p w:rsidR="00615D16" w:rsidRPr="00615D16" w:rsidRDefault="00615D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615D16" w:rsidRDefault="00615D1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00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8B67CD-A070-481B-8394-09DCCF1B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009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15D1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2008-04-06T22:01:00Z</dcterms:created>
  <dcterms:modified xsi:type="dcterms:W3CDTF">2008-04-06T22:01:00Z</dcterms:modified>
</cp:coreProperties>
</file>