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24013" w:rsidRDefault="00024013">
      <w:pPr>
        <w:rPr>
          <w:rtl/>
        </w:rPr>
      </w:pPr>
    </w:p>
    <w:p w:rsidR="0002401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1783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11783" inset="0,0,0,0">
              <w:txbxContent>
                <w:p w:rsidR="006A2B1B" w:rsidRDefault="006A2B1B">
                  <w:r>
                    <w:rPr>
                      <w:rtl/>
                    </w:rPr>
                    <w:t>138                                          ספר החוקים 855                   ה' בניסן התשל"ז 24.03.1977</w:t>
                  </w:r>
                </w:p>
              </w:txbxContent>
            </v:textbox>
            <w10:wrap anchorx="page" anchory="page"/>
          </v:shape>
        </w:pict>
      </w:r>
      <w:r>
        <w:pict>
          <v:shape id="_x0000_s11784" o:spid="_x0000_s1026" type="#_x0000_t202" style="position:absolute;left:0;text-align:left;margin-left:95.95pt;margin-top:652.55pt;width:376.2pt;height:87.1pt;z-index:3;mso-position-horizontal-relative:page;mso-position-vertical-relative:page" stroked="f">
            <v:textbox style="mso-next-textbox:#_x0000_s11784" inset="0,0,0,0">
              <w:txbxContent>
                <w:p w:rsidR="006A2B1B" w:rsidRDefault="006A2B1B">
                  <w:pPr>
                    <w:pStyle w:val="OCRStyle1"/>
                    <w:ind w:left="101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כ"ו באדר חשל*ז (16 במרס 1977); הצעת החוק ודברי הסבר פורסמו בה"ח 1282, תשל"ז,</w:t>
                  </w:r>
                </w:p>
                <w:p w:rsidR="006A2B1B" w:rsidRDefault="006A2B1B">
                  <w:pPr>
                    <w:pStyle w:val="OCRStyle1"/>
                    <w:ind w:left="21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114.</w:t>
                  </w:r>
                </w:p>
                <w:p w:rsidR="006A2B1B" w:rsidRDefault="006A2B1B">
                  <w:pPr>
                    <w:pStyle w:val="OCRStyle1"/>
                    <w:ind w:left="115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דיני מדינת ישראל, נוסח חדש 6, עמ' 120; ס"ח תשל"ו, עמ' .164</w:t>
                  </w:r>
                </w:p>
                <w:p w:rsidR="006A2B1B" w:rsidRPr="00024013" w:rsidRDefault="006A2B1B">
                  <w:pPr>
                    <w:pStyle w:val="OCRStyle1"/>
                    <w:ind w:left="10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טיח תשי"ז, עמ' 8.</w:t>
                  </w:r>
                </w:p>
              </w:txbxContent>
            </v:textbox>
            <w10:wrap anchorx="page" anchory="page"/>
          </v:shape>
        </w:pict>
      </w:r>
      <w:r>
        <w:pict>
          <v:shape id="_x0000_s11785" o:spid="_x0000_s1027" type="#_x0000_t202" style="position:absolute;left:0;text-align:left;margin-left:92.6pt;margin-top:97.2pt;width:462.55pt;height:555.4pt;z-index:2;mso-position-horizontal-relative:page;mso-position-vertical-relative:page" stroked="f">
            <v:textbox style="mso-next-textbox:#_x0000_s11785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50"/>
                    <w:gridCol w:w="1159"/>
                  </w:tblGrid>
                  <w:tr w:rsidR="006A2B1B" w:rsidRPr="00024013">
                    <w:trPr>
                      <w:jc w:val="right"/>
                    </w:trPr>
                    <w:tc>
                      <w:tcPr>
                        <w:tcW w:w="4311" w:type="pct"/>
                      </w:tcPr>
                      <w:p w:rsidR="006A2B1B" w:rsidRDefault="006A2B1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1. בחוק זה -</w:t>
                        </w:r>
                      </w:p>
                      <w:p w:rsidR="006A2B1B" w:rsidRDefault="006A2B1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תהא לכל מונח המשמעות שיש לו בפקודת מס הכנסה 1 (להלן - הפקודה),</w:t>
                        </w:r>
                      </w:p>
                      <w:p w:rsidR="006A2B1B" w:rsidRDefault="006A2B1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אין בחוק זה הוראה אחרת;</w:t>
                        </w:r>
                      </w:p>
                      <w:p w:rsidR="006A2B1B" w:rsidRDefault="006A2B1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"מעביד" - כל המשלם הכנסת עבודה או האחראי לתשלומה;</w:t>
                        </w:r>
                      </w:p>
                      <w:p w:rsidR="006A2B1B" w:rsidRDefault="006A2B1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"הכנסת עבודה", למעט -</w:t>
                        </w:r>
                      </w:p>
                      <w:p w:rsidR="006A2B1B" w:rsidRDefault="006A2B1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תשלומים שניתנו לעובד לכיסוי הוצאותיו בשל החזקת רכב וכן</w:t>
                        </w:r>
                      </w:p>
                      <w:p w:rsidR="006A2B1B" w:rsidRDefault="006A2B1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שוויו של שימוש ברכב שהועמד לרשותו של עובד;</w:t>
                        </w:r>
                      </w:p>
                      <w:p w:rsidR="006A2B1B" w:rsidRDefault="006A2B1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תשלומים שניתנו לעובד לכיסוי הוצאותיו בשל החזקת טלפון במקום</w:t>
                        </w:r>
                      </w:p>
                      <w:p w:rsidR="006A2B1B" w:rsidRDefault="006A2B1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מגוריו;</w:t>
                        </w:r>
                      </w:p>
                      <w:p w:rsidR="006A2B1B" w:rsidRDefault="006A2B1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הכנסת עבודה כאמור בסעיף 3 (ט) לפקודה;</w:t>
                        </w:r>
                      </w:p>
                      <w:p w:rsidR="006A2B1B" w:rsidRPr="00024013" w:rsidRDefault="006A2B1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"התאריך הקובע" - כ' בתשרי תשמ"א (30 בספטמבר 1980),</w:t>
                        </w:r>
                      </w:p>
                    </w:tc>
                    <w:tc>
                      <w:tcPr>
                        <w:tcW w:w="689" w:type="pct"/>
                      </w:tcPr>
                      <w:p w:rsidR="006A2B1B" w:rsidRPr="00024013" w:rsidRDefault="006A2B1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הגדרות</w:t>
                        </w:r>
                      </w:p>
                    </w:tc>
                  </w:tr>
                  <w:tr w:rsidR="006A2B1B" w:rsidRPr="00024013">
                    <w:trPr>
                      <w:jc w:val="right"/>
                    </w:trPr>
                    <w:tc>
                      <w:tcPr>
                        <w:tcW w:w="4311" w:type="pct"/>
                      </w:tcPr>
                      <w:p w:rsidR="006A2B1B" w:rsidRDefault="006A2B1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(א) מעביד יהא חייב למדינה בשנת המס 1977 במילווה חסכון בשיעור של 4.75%</w:t>
                        </w:r>
                      </w:p>
                      <w:p w:rsidR="006A2B1B" w:rsidRDefault="006A2B1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מסך כל הכנסת עבודה ששילם בשנת המס 1977 (להלן - המילווה).</w:t>
                        </w:r>
                      </w:p>
                      <w:p w:rsidR="006A2B1B" w:rsidRDefault="006A2B1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המילווה יחול, על אף האמור בכל דין, גם על חבר-בני-אדמ שדינו לענין</w:t>
                        </w:r>
                      </w:p>
                      <w:p w:rsidR="006A2B1B" w:rsidRPr="00024013" w:rsidRDefault="006A2B1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תשלום מסים, אגרות ותשלומי חובה אחרים כדין המדינה.</w:t>
                        </w:r>
                      </w:p>
                    </w:tc>
                    <w:tc>
                      <w:tcPr>
                        <w:tcW w:w="689" w:type="pct"/>
                      </w:tcPr>
                      <w:p w:rsidR="006A2B1B" w:rsidRDefault="006A2B1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הטלת המילווה</w:t>
                        </w:r>
                      </w:p>
                      <w:p w:rsidR="006A2B1B" w:rsidRPr="00024013" w:rsidRDefault="006A2B1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ושיעורו</w:t>
                        </w:r>
                      </w:p>
                    </w:tc>
                  </w:tr>
                  <w:tr w:rsidR="006A2B1B" w:rsidRPr="00024013">
                    <w:trPr>
                      <w:jc w:val="right"/>
                    </w:trPr>
                    <w:tc>
                      <w:tcPr>
                        <w:tcW w:w="4311" w:type="pct"/>
                      </w:tcPr>
                      <w:p w:rsidR="006A2B1B" w:rsidRDefault="006A2B1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רשויות מקומיות ומוסדות ציבור פטורים ממילווה; לענין זה, "מוסדות ציבור" -</w:t>
                        </w:r>
                      </w:p>
                      <w:p w:rsidR="006A2B1B" w:rsidRDefault="006A2B1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מוסדות לדת, לתרבות, לחינוך, למדע, לבריאות, לסעד, לספורט או למטרה ציבורית אחרת,</w:t>
                        </w:r>
                      </w:p>
                      <w:p w:rsidR="006A2B1B" w:rsidRDefault="006A2B1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שאינם מיועדים להפקת רווחים ושקבע אותם לענין זה שר האוצר באישור ועדת הכספים</w:t>
                        </w:r>
                      </w:p>
                      <w:p w:rsidR="006A2B1B" w:rsidRPr="00024013" w:rsidRDefault="006A2B1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הכנסת,</w:t>
                        </w:r>
                      </w:p>
                    </w:tc>
                    <w:tc>
                      <w:tcPr>
                        <w:tcW w:w="689" w:type="pct"/>
                      </w:tcPr>
                      <w:p w:rsidR="006A2B1B" w:rsidRPr="00024013" w:rsidRDefault="006A2B1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פטורים</w:t>
                        </w:r>
                      </w:p>
                    </w:tc>
                  </w:tr>
                  <w:tr w:rsidR="006A2B1B" w:rsidRPr="00024013">
                    <w:trPr>
                      <w:jc w:val="right"/>
                    </w:trPr>
                    <w:tc>
                      <w:tcPr>
                        <w:tcW w:w="4311" w:type="pct"/>
                      </w:tcPr>
                      <w:p w:rsidR="006A2B1B" w:rsidRDefault="006A2B1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מעביד ישלם לפקיד השומה את המילווה במועד שנקבע ויגיש לו באותו מועד דין</w:t>
                        </w:r>
                      </w:p>
                      <w:p w:rsidR="006A2B1B" w:rsidRPr="00024013" w:rsidRDefault="006A2B1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וחשבון כפי שנקבע.</w:t>
                        </w:r>
                      </w:p>
                    </w:tc>
                    <w:tc>
                      <w:tcPr>
                        <w:tcW w:w="689" w:type="pct"/>
                      </w:tcPr>
                      <w:p w:rsidR="006A2B1B" w:rsidRPr="00024013" w:rsidRDefault="006A2B1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תשלום המילווה</w:t>
                        </w:r>
                      </w:p>
                    </w:tc>
                  </w:tr>
                  <w:tr w:rsidR="006A2B1B" w:rsidRPr="00024013">
                    <w:trPr>
                      <w:jc w:val="right"/>
                    </w:trPr>
                    <w:tc>
                      <w:tcPr>
                        <w:tcW w:w="4311" w:type="pct"/>
                      </w:tcPr>
                      <w:p w:rsidR="006A2B1B" w:rsidRDefault="006A2B1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 .מעביד שלא שילם את המילווה או לא מסר לפקיד השומה דו"ח או מסר דו"ח אך</w:t>
                        </w:r>
                      </w:p>
                      <w:p w:rsidR="006A2B1B" w:rsidRDefault="006A2B1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לפקיד השומה יש טעמים סבירים להניח שהדו"ח איננו נכון - רשאי פקיד השומה לשום</w:t>
                        </w:r>
                      </w:p>
                      <w:p w:rsidR="006A2B1B" w:rsidRDefault="006A2B1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מיטב שפיטתו את סכום המילווה ודין שומה לפי סעיף זה כדין שומה לפי סעיף 167</w:t>
                        </w:r>
                      </w:p>
                      <w:p w:rsidR="006A2B1B" w:rsidRPr="00024013" w:rsidRDefault="006A2B1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לפקודה.</w:t>
                        </w:r>
                      </w:p>
                    </w:tc>
                    <w:tc>
                      <w:tcPr>
                        <w:tcW w:w="689" w:type="pct"/>
                      </w:tcPr>
                      <w:p w:rsidR="006A2B1B" w:rsidRPr="00024013" w:rsidRDefault="006A2B1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שומת המילווה</w:t>
                        </w:r>
                      </w:p>
                    </w:tc>
                  </w:tr>
                  <w:tr w:rsidR="006A2B1B" w:rsidRPr="00024013">
                    <w:trPr>
                      <w:jc w:val="right"/>
                    </w:trPr>
                    <w:tc>
                      <w:tcPr>
                        <w:tcW w:w="4311" w:type="pct"/>
                      </w:tcPr>
                      <w:p w:rsidR="006A2B1B" w:rsidRDefault="006A2B1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 .(א) המילווה ישא ריבית בשיעור של 3% לשנה החל מיום כ"ג באדר ב' תשל"ח</w:t>
                        </w:r>
                      </w:p>
                      <w:p w:rsidR="006A2B1B" w:rsidRDefault="006A2B1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 באפריל 1978).</w:t>
                        </w:r>
                      </w:p>
                      <w:p w:rsidR="006A2B1B" w:rsidRPr="00024013" w:rsidRDefault="006A2B1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הריבית תהיה פטורה ממס הכנסה.</w:t>
                        </w:r>
                      </w:p>
                    </w:tc>
                    <w:tc>
                      <w:tcPr>
                        <w:tcW w:w="689" w:type="pct"/>
                      </w:tcPr>
                      <w:p w:rsidR="006A2B1B" w:rsidRDefault="006A2B1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המילווה ישא</w:t>
                        </w:r>
                      </w:p>
                      <w:p w:rsidR="006A2B1B" w:rsidRPr="00024013" w:rsidRDefault="006A2B1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ריבית</w:t>
                        </w:r>
                      </w:p>
                    </w:tc>
                  </w:tr>
                  <w:tr w:rsidR="006A2B1B" w:rsidRPr="00024013">
                    <w:trPr>
                      <w:jc w:val="right"/>
                    </w:trPr>
                    <w:tc>
                      <w:tcPr>
                        <w:tcW w:w="4311" w:type="pct"/>
                      </w:tcPr>
                      <w:p w:rsidR="006A2B1B" w:rsidRDefault="006A2B1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 .(א) בסעיף זה -</w:t>
                        </w:r>
                      </w:p>
                      <w:p w:rsidR="006A2B1B" w:rsidRDefault="006A2B1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"מדד יוקר המחיה" - כמשמעותו בחוק מילווה בטחון, תשי"ז - 1956 2;</w:t>
                        </w:r>
                      </w:p>
                      <w:p w:rsidR="006A2B1B" w:rsidRDefault="006A2B1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"מדד יסודי" - מדד יוקר המחיה שיתפרסם לדצמבר 1977;</w:t>
                        </w:r>
                      </w:p>
                      <w:p w:rsidR="006A2B1B" w:rsidRDefault="006A2B1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"מדד חדש" - מדד יוקר המחיה שיתפרסם לחודש יוני שלפני מועד</w:t>
                        </w:r>
                      </w:p>
                      <w:p w:rsidR="006A2B1B" w:rsidRPr="00024013" w:rsidRDefault="006A2B1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הפרעון.</w:t>
                        </w:r>
                      </w:p>
                    </w:tc>
                    <w:tc>
                      <w:tcPr>
                        <w:tcW w:w="689" w:type="pct"/>
                      </w:tcPr>
                      <w:p w:rsidR="006A2B1B" w:rsidRDefault="006A2B1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המילווה צמוד</w:t>
                        </w:r>
                      </w:p>
                      <w:p w:rsidR="006A2B1B" w:rsidRPr="00024013" w:rsidRDefault="006A2B1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למדד</w:t>
                        </w:r>
                      </w:p>
                    </w:tc>
                  </w:tr>
                </w:tbl>
                <w:p w:rsidR="006A2B1B" w:rsidRDefault="006A2B1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1786" o:spid="_x0000_s1028" type="#_x0000_t202" style="position:absolute;left:0;text-align:left;margin-left:192.8pt;margin-top:69.25pt;width:196.4pt;height:27.9pt;z-index:1;mso-position-horizontal-relative:page;mso-position-vertical-relative:page" stroked="f">
            <v:textbox style="mso-next-textbox:#_x0000_s11786" inset="0,0,0,0">
              <w:txbxContent>
                <w:p w:rsidR="006A2B1B" w:rsidRPr="00024013" w:rsidRDefault="006A2B1B">
                  <w:pPr>
                    <w:pStyle w:val="OCRStyle1"/>
                    <w:ind w:left="133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מילווה חסכון, תשל"ז-1977 *</w:t>
                  </w:r>
                </w:p>
              </w:txbxContent>
            </v:textbox>
            <w10:wrap anchorx="page" anchory="page"/>
          </v:shape>
        </w:pict>
      </w:r>
    </w:p>
    <w:p w:rsidR="00323DD2" w:rsidRDefault="00323DD2">
      <w:pPr>
        <w:rPr>
          <w:rtl/>
        </w:rPr>
      </w:pPr>
      <w:r>
        <w:rPr>
          <w:rtl/>
        </w:rPr>
        <w:br w:type="page"/>
      </w:r>
    </w:p>
    <w:p w:rsidR="00323DD2" w:rsidRDefault="00000000">
      <w:pPr>
        <w:rPr>
          <w:rtl/>
        </w:rPr>
      </w:pPr>
      <w:r>
        <w:pict>
          <v:shape id="_x0000_s11787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1787" inset="0,0,0,0">
              <w:txbxContent>
                <w:p w:rsidR="006A2B1B" w:rsidRDefault="006A2B1B">
                  <w:r>
                    <w:rPr>
                      <w:rtl/>
                    </w:rPr>
                    <w:t>139                                          ספר החוקים 855                   ה' בניסן התשל"ז 24.03.1977</w:t>
                  </w:r>
                </w:p>
              </w:txbxContent>
            </v:textbox>
            <w10:wrap anchorx="page" anchory="page"/>
          </v:shape>
        </w:pict>
      </w:r>
      <w:r>
        <w:pict>
          <v:shape id="_x0000_s11788" o:spid="_x0000_s1030" type="#_x0000_t202" style="position:absolute;left:0;text-align:left;margin-left:365.75pt;margin-top:655.6pt;width:175.65pt;height:89.9pt;z-index:6;mso-position-horizontal-relative:page;mso-position-vertical-relative:page" stroked="f">
            <v:textbox style="mso-next-textbox:#_x0000_s11788" inset="0,0,0,0">
              <w:txbxContent>
                <w:p w:rsidR="006A2B1B" w:rsidRDefault="006A2B1B">
                  <w:pPr>
                    <w:pStyle w:val="OCRStyle2"/>
                    <w:ind w:left="504"/>
                    <w:rPr>
                      <w:rtl/>
                    </w:rPr>
                  </w:pPr>
                  <w:r>
                    <w:rPr>
                      <w:rtl/>
                    </w:rPr>
                    <w:t>3 ק"ת תשל''א, עמ' 690.</w:t>
                  </w:r>
                </w:p>
                <w:p w:rsidR="006A2B1B" w:rsidRPr="00323DD2" w:rsidRDefault="006A2B1B">
                  <w:pPr>
                    <w:pStyle w:val="OCRStyle2"/>
                    <w:ind w:left="50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4 ס"ח תשכ''ז, עמי .48</w:t>
                  </w:r>
                </w:p>
              </w:txbxContent>
            </v:textbox>
            <w10:wrap anchorx="page" anchory="page"/>
          </v:shape>
        </w:pict>
      </w:r>
      <w:r>
        <w:pict>
          <v:shape id="_x0000_s11789" o:spid="_x0000_s1031" type="#_x0000_t202" style="position:absolute;left:0;text-align:left;margin-left:89.3pt;margin-top:73.05pt;width:452.85pt;height:579.15pt;z-index:5;mso-position-horizontal-relative:page;mso-position-vertical-relative:page" stroked="f">
            <v:textbox style="mso-next-textbox:#_x0000_s11789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51"/>
                    <w:gridCol w:w="7182"/>
                  </w:tblGrid>
                  <w:tr w:rsidR="006A2B1B">
                    <w:trPr>
                      <w:jc w:val="right"/>
                    </w:trPr>
                    <w:tc>
                      <w:tcPr>
                        <w:tcW w:w="638" w:type="pct"/>
                      </w:tcPr>
                      <w:p w:rsidR="006A2B1B" w:rsidRDefault="006A2B1B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362" w:type="pct"/>
                      </w:tcPr>
                      <w:p w:rsidR="006A2B1B" w:rsidRDefault="006A2B1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קרן המילווה תהיה צמודה למדד יוקר המחיה; התברר בעת פרעונו של חלק</w:t>
                        </w:r>
                      </w:p>
                      <w:p w:rsidR="006A2B1B" w:rsidRDefault="006A2B1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פלוני של המילווה כי המדד החדש עולה על המדד היסודי, ייפרע המילווה כשהוא מוגדל</w:t>
                        </w:r>
                      </w:p>
                      <w:p w:rsidR="006A2B1B" w:rsidRDefault="006A2B1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ב-90% משיעור העליה של המדד החדש.</w:t>
                        </w:r>
                      </w:p>
                    </w:tc>
                  </w:tr>
                  <w:tr w:rsidR="006A2B1B" w:rsidRPr="00323DD2">
                    <w:trPr>
                      <w:jc w:val="right"/>
                    </w:trPr>
                    <w:tc>
                      <w:tcPr>
                        <w:tcW w:w="638" w:type="pct"/>
                      </w:tcPr>
                      <w:p w:rsidR="006A2B1B" w:rsidRPr="00323DD2" w:rsidRDefault="006A2B1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תעודות מילווה</w:t>
                        </w:r>
                      </w:p>
                    </w:tc>
                    <w:tc>
                      <w:tcPr>
                        <w:tcW w:w="4362" w:type="pct"/>
                      </w:tcPr>
                      <w:p w:rsidR="006A2B1B" w:rsidRDefault="006A2B1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(א) על סכום מילווה ששילם מעביד עד התאריך הקובע, יינתנו לו תעודות רשומות</w:t>
                        </w:r>
                      </w:p>
                      <w:p w:rsidR="006A2B1B" w:rsidRDefault="006A2B1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שמו, עד יום כ"ו באדר ב' תשמ"א (1 באפריל 1981).</w:t>
                        </w:r>
                      </w:p>
                      <w:p w:rsidR="006A2B1B" w:rsidRDefault="006A2B1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התעודות יהיו רק על סכום לירות המתחלק לחמש ללא יתרה.</w:t>
                        </w:r>
                      </w:p>
                      <w:p w:rsidR="006A2B1B" w:rsidRDefault="006A2B1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האוצר, באישור ועדת הכספים של הכנסת, יקבע בתקנות את ההוראות</w:t>
                        </w:r>
                      </w:p>
                      <w:p w:rsidR="006A2B1B" w:rsidRDefault="006A2B1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והתנאים שיחולו על תעודות המילווה, לרבות בדבר הוצאתן ופדיונן, וכן בדבר היתרות</w:t>
                        </w:r>
                      </w:p>
                      <w:p w:rsidR="006A2B1B" w:rsidRPr="00323DD2" w:rsidRDefault="006A2B1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שסכומן קטן מהערך הנקוב הנמוך ביותר של תעודות המילווה.</w:t>
                        </w:r>
                      </w:p>
                    </w:tc>
                  </w:tr>
                  <w:tr w:rsidR="006A2B1B" w:rsidRPr="00323DD2">
                    <w:trPr>
                      <w:jc w:val="right"/>
                    </w:trPr>
                    <w:tc>
                      <w:tcPr>
                        <w:tcW w:w="638" w:type="pct"/>
                      </w:tcPr>
                      <w:p w:rsidR="006A2B1B" w:rsidRPr="00323DD2" w:rsidRDefault="006A2B1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העברה ושעבוד</w:t>
                        </w:r>
                      </w:p>
                    </w:tc>
                    <w:tc>
                      <w:tcPr>
                        <w:tcW w:w="4362" w:type="pct"/>
                      </w:tcPr>
                      <w:p w:rsidR="006A2B1B" w:rsidRDefault="006A2B1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(א) תעודות המילווה לא יהיו סחירות ולא יהיו ניתנות להעברה למעט העברות מכוח</w:t>
                        </w:r>
                      </w:p>
                      <w:p w:rsidR="006A2B1B" w:rsidRDefault="006A2B1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הדין.</w:t>
                        </w:r>
                      </w:p>
                      <w:p w:rsidR="006A2B1B" w:rsidRDefault="006A2B1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תעודות המילווה או הזכות לקבלתן לא יהיו ניתנות לשעבוד אלא כבטוחה -</w:t>
                        </w:r>
                      </w:p>
                      <w:p w:rsidR="006A2B1B" w:rsidRDefault="006A2B1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לחיוב של בעל התעודות או של הזכאי לקבלתן, שהמדינה ערבה לו, או</w:t>
                        </w:r>
                      </w:p>
                      <w:p w:rsidR="006A2B1B" w:rsidRDefault="006A2B1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לטובת המדינה בעד ערבותה;</w:t>
                        </w:r>
                      </w:p>
                      <w:p w:rsidR="006A2B1B" w:rsidRDefault="006A2B1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לפרעון הלוואה שניתנה לבעל התעודות או לזכאי לקבלתן במסגרת</w:t>
                        </w:r>
                      </w:p>
                      <w:p w:rsidR="006A2B1B" w:rsidRDefault="006A2B1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אשראי מוכוון כמשמעותו בסעיף 8 להוראות בנק ישראל (נכסים נזילים),</w:t>
                        </w:r>
                      </w:p>
                      <w:p w:rsidR="006A2B1B" w:rsidRDefault="006A2B1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תשל"א-1971 3, ושר החקלאות, שר המסחר והתעשיה או שר התיירות, או מי שהם</w:t>
                        </w:r>
                      </w:p>
                      <w:p w:rsidR="006A2B1B" w:rsidRDefault="006A2B1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אחד מהם הסמיכו, אישר את השעבוד.</w:t>
                        </w:r>
                      </w:p>
                      <w:p w:rsidR="006A2B1B" w:rsidRDefault="006A2B1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(1) שועבדו תעודות המילווה או הזכות לקבלתן, תהיה למי שלטובתו נעשה</w:t>
                        </w:r>
                      </w:p>
                      <w:p w:rsidR="006A2B1B" w:rsidRDefault="006A2B1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השעבוד זכות עדיפות להיפרע מהתעודות על פני כל נושה אחר, אף שלא נת-</w:t>
                        </w:r>
                      </w:p>
                      <w:p w:rsidR="006A2B1B" w:rsidRDefault="006A2B1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מלאו תנאי סעיף 4 לחוק המשכון, תשכ"ז-1967 4.</w:t>
                        </w:r>
                      </w:p>
                      <w:p w:rsidR="006A2B1B" w:rsidRDefault="006A2B1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לבנק ישראל תינתן הודעה על תעודות המילווה ששועבדו או שהזכות</w:t>
                        </w:r>
                      </w:p>
                      <w:p w:rsidR="006A2B1B" w:rsidRDefault="006A2B1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לקבלתן שועבדה.</w:t>
                        </w:r>
                      </w:p>
                      <w:p w:rsidR="006A2B1B" w:rsidRDefault="006A2B1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שר האוצר יקבע בתקנות הוראות לענין מתן הודעה לבנק ישראל והרי-</w:t>
                        </w:r>
                      </w:p>
                      <w:p w:rsidR="006A2B1B" w:rsidRDefault="006A2B1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שומים שיעשה בנק ישראל, וכן למי יימסרו תעודות המילווה שהן או הזכות</w:t>
                        </w:r>
                      </w:p>
                      <w:p w:rsidR="006A2B1B" w:rsidRPr="00323DD2" w:rsidRDefault="006A2B1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לקבלתן שועבדו או דמי פדיונן של תעודות כאמור.</w:t>
                        </w:r>
                      </w:p>
                    </w:tc>
                  </w:tr>
                  <w:tr w:rsidR="006A2B1B" w:rsidRPr="00323DD2">
                    <w:trPr>
                      <w:jc w:val="right"/>
                    </w:trPr>
                    <w:tc>
                      <w:tcPr>
                        <w:tcW w:w="638" w:type="pct"/>
                      </w:tcPr>
                      <w:p w:rsidR="006A2B1B" w:rsidRPr="00323DD2" w:rsidRDefault="006A2B1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פרעון המילווה</w:t>
                        </w:r>
                      </w:p>
                    </w:tc>
                    <w:tc>
                      <w:tcPr>
                        <w:tcW w:w="4362" w:type="pct"/>
                      </w:tcPr>
                      <w:p w:rsidR="006A2B1B" w:rsidRDefault="006A2B1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(א) 50% מסך כל סכומי המילווה ייפרעו בשלושה שיעורים שנתיים רצופים ושווים</w:t>
                        </w:r>
                      </w:p>
                      <w:p w:rsidR="006A2B1B" w:rsidRDefault="006A2B1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ב-1 באוגוסט של כל שנה, החל בשנת 1981, ויתרם בשלושה שיעורים שנתיים רצופים</w:t>
                        </w:r>
                      </w:p>
                      <w:p w:rsidR="006A2B1B" w:rsidRDefault="006A2B1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ושווים ב-1 באוגוסט של כל שנה החל בשנת המס 1986, והכל בצירוף ריבית כאמור</w:t>
                        </w:r>
                      </w:p>
                      <w:p w:rsidR="006A2B1B" w:rsidRPr="00323DD2" w:rsidRDefault="006A2B1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6.</w:t>
                        </w:r>
                      </w:p>
                    </w:tc>
                  </w:tr>
                  <w:tr w:rsidR="006A2B1B">
                    <w:trPr>
                      <w:jc w:val="right"/>
                    </w:trPr>
                    <w:tc>
                      <w:tcPr>
                        <w:tcW w:w="638" w:type="pct"/>
                      </w:tcPr>
                      <w:p w:rsidR="006A2B1B" w:rsidRDefault="006A2B1B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362" w:type="pct"/>
                      </w:tcPr>
                      <w:p w:rsidR="006A2B1B" w:rsidRDefault="006A2B1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אף האמור בסעיף קטן (א), מילווה ששילם מעביד לגבי עסק פלוני בסכום</w:t>
                        </w:r>
                      </w:p>
                      <w:p w:rsidR="006A2B1B" w:rsidRDefault="006A2B1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שאינו עולה על 1,000 לירות ייפדה במלואו ביום א' באב תשמ"א (1 באוגוסט 1981).</w:t>
                        </w:r>
                      </w:p>
                    </w:tc>
                  </w:tr>
                </w:tbl>
                <w:p w:rsidR="006A2B1B" w:rsidRDefault="006A2B1B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6A2B1B" w:rsidRDefault="006A2B1B">
      <w:pPr>
        <w:rPr>
          <w:rtl/>
        </w:rPr>
      </w:pPr>
      <w:r>
        <w:rPr>
          <w:rtl/>
        </w:rPr>
        <w:br w:type="page"/>
      </w:r>
    </w:p>
    <w:p w:rsidR="006A2B1B" w:rsidRDefault="00000000">
      <w:pPr>
        <w:rPr>
          <w:rtl/>
        </w:rPr>
      </w:pPr>
      <w:r>
        <w:pict>
          <v:shape id="_x0000_s11790" o:spid="_x0000_s1032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11790" inset="0,0,0,0">
              <w:txbxContent>
                <w:p w:rsidR="006A2B1B" w:rsidRDefault="006A2B1B">
                  <w:r>
                    <w:rPr>
                      <w:rtl/>
                    </w:rPr>
                    <w:t>140                                          ספר החוקים 855                   ה' בניסן התשל"ז 24.03.1977</w:t>
                  </w:r>
                </w:p>
              </w:txbxContent>
            </v:textbox>
            <w10:wrap anchorx="page" anchory="page"/>
          </v:shape>
        </w:pict>
      </w:r>
      <w:r>
        <w:pict>
          <v:shape id="_x0000_s11791" o:spid="_x0000_s1033" type="#_x0000_t202" style="position:absolute;left:0;text-align:left;margin-left:120.95pt;margin-top:239.7pt;width:115.65pt;height:42pt;z-index:11;mso-position-horizontal-relative:page;mso-position-vertical-relative:page" stroked="f">
            <v:textbox style="mso-next-textbox:#_x0000_s11791" inset="0,0,0,0">
              <w:txbxContent>
                <w:p w:rsidR="006A2B1B" w:rsidRDefault="006A2B1B">
                  <w:pPr>
                    <w:pStyle w:val="OCRStyle3"/>
                    <w:ind w:left="101"/>
                    <w:rPr>
                      <w:rtl/>
                    </w:rPr>
                  </w:pPr>
                  <w:r>
                    <w:rPr>
                      <w:rtl/>
                    </w:rPr>
                    <w:t>יהושע רבינוביץ</w:t>
                  </w:r>
                </w:p>
                <w:p w:rsidR="006A2B1B" w:rsidRDefault="006A2B1B">
                  <w:pPr>
                    <w:pStyle w:val="OCRStyle3"/>
                    <w:ind w:left="594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1792" o:spid="_x0000_s1034" type="#_x0000_t202" style="position:absolute;left:0;text-align:left;margin-left:253.8pt;margin-top:244.65pt;width:80pt;height:33.85pt;z-index:10;mso-position-horizontal-relative:page;mso-position-vertical-relative:page" stroked="f">
            <v:textbox style="mso-next-textbox:#_x0000_s11792" inset="0,0,0,0">
              <w:txbxContent>
                <w:p w:rsidR="006A2B1B" w:rsidRDefault="006A2B1B">
                  <w:pPr>
                    <w:pStyle w:val="OCRStyle3"/>
                    <w:ind w:left="169"/>
                    <w:rPr>
                      <w:rtl/>
                    </w:rPr>
                  </w:pPr>
                  <w:r>
                    <w:rPr>
                      <w:rtl/>
                    </w:rPr>
                    <w:t>יצחק ר בי ן</w:t>
                  </w:r>
                </w:p>
                <w:p w:rsidR="006A2B1B" w:rsidRDefault="006A2B1B">
                  <w:pPr>
                    <w:pStyle w:val="OCRStyle3"/>
                    <w:ind w:left="20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1793" o:spid="_x0000_s1035" type="#_x0000_t202" style="position:absolute;left:0;text-align:left;margin-left:396.55pt;margin-top:269.4pt;width:96.6pt;height:37.8pt;z-index:9;mso-position-horizontal-relative:page;mso-position-vertical-relative:page" stroked="f">
            <v:textbox style="mso-next-textbox:#_x0000_s11793" inset="0,0,0,0">
              <w:txbxContent>
                <w:p w:rsidR="006A2B1B" w:rsidRDefault="006A2B1B">
                  <w:pPr>
                    <w:pStyle w:val="OCRStyle3"/>
                    <w:ind w:left="212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6A2B1B" w:rsidRDefault="006A2B1B">
                  <w:pPr>
                    <w:pStyle w:val="OCRStyle3"/>
                    <w:ind w:left="34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1794" o:spid="_x0000_s1036" type="#_x0000_t202" style="position:absolute;left:0;text-align:left;margin-left:91.25pt;margin-top:64.85pt;width:465.3pt;height:164.15pt;z-index:8;mso-position-horizontal-relative:page;mso-position-vertical-relative:page" stroked="f">
            <v:textbox style="mso-next-textbox:#_x0000_s11794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93"/>
                    <w:gridCol w:w="1066"/>
                  </w:tblGrid>
                  <w:tr w:rsidR="006A2B1B" w:rsidRPr="006A2B1B">
                    <w:trPr>
                      <w:jc w:val="right"/>
                    </w:trPr>
                    <w:tc>
                      <w:tcPr>
                        <w:tcW w:w="4370" w:type="pct"/>
                      </w:tcPr>
                      <w:p w:rsidR="006A2B1B" w:rsidRDefault="006A2B1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(א) שר האוצר, באישור ועדת הכספים של הכנסת, רשאי לקבוע בתקגות מה יהיה</w:t>
                        </w:r>
                      </w:p>
                      <w:p w:rsidR="006A2B1B" w:rsidRDefault="006A2B1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דינו של מילווה שלא שולם עד התאריך הקובע; בתקנות אלה ניתן גם לקבוע כי המילווה</w:t>
                        </w:r>
                      </w:p>
                      <w:p w:rsidR="006A2B1B" w:rsidRDefault="006A2B1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ייהפך למס או שלא ייגבה.</w:t>
                        </w:r>
                      </w:p>
                      <w:p w:rsidR="006A2B1B" w:rsidRDefault="006A2B1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תקנות לפי סעיף קטן (א) יכול שיהיו כלליות או לסוגים של חייבים במילווה</w:t>
                        </w:r>
                      </w:p>
                      <w:p w:rsidR="006A2B1B" w:rsidRDefault="006A2B1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לפי סכום המילווה.</w:t>
                        </w:r>
                      </w:p>
                    </w:tc>
                    <w:tc>
                      <w:tcPr>
                        <w:tcW w:w="630" w:type="pct"/>
                      </w:tcPr>
                      <w:p w:rsidR="006A2B1B" w:rsidRDefault="006A2B1B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נילווה שלא</w:t>
                        </w:r>
                      </w:p>
                      <w:p w:rsidR="006A2B1B" w:rsidRDefault="006A2B1B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שולם עד</w:t>
                        </w:r>
                      </w:p>
                      <w:p w:rsidR="006A2B1B" w:rsidRPr="006A2B1B" w:rsidRDefault="006A2B1B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התאריך הקובע</w:t>
                        </w:r>
                      </w:p>
                    </w:tc>
                  </w:tr>
                  <w:tr w:rsidR="006A2B1B" w:rsidRPr="006A2B1B">
                    <w:trPr>
                      <w:jc w:val="right"/>
                    </w:trPr>
                    <w:tc>
                      <w:tcPr>
                        <w:tcW w:w="4370" w:type="pct"/>
                      </w:tcPr>
                      <w:p w:rsidR="006A2B1B" w:rsidRDefault="006A2B1B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הוראות הפקודה יחולו על המילווה כאילו היה חלק מהמס, והוא במידה שאין בחוק</w:t>
                        </w:r>
                      </w:p>
                      <w:p w:rsidR="006A2B1B" w:rsidRPr="006A2B1B" w:rsidRDefault="006A2B1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הוראה אחרת לאותו ענין.</w:t>
                        </w:r>
                      </w:p>
                    </w:tc>
                    <w:tc>
                      <w:tcPr>
                        <w:tcW w:w="630" w:type="pct"/>
                      </w:tcPr>
                      <w:p w:rsidR="006A2B1B" w:rsidRDefault="006A2B1B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תחולת הוראות</w:t>
                        </w:r>
                      </w:p>
                      <w:p w:rsidR="006A2B1B" w:rsidRPr="006A2B1B" w:rsidRDefault="006A2B1B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הפקודה</w:t>
                        </w:r>
                      </w:p>
                    </w:tc>
                  </w:tr>
                  <w:tr w:rsidR="006A2B1B" w:rsidRPr="006A2B1B">
                    <w:trPr>
                      <w:jc w:val="right"/>
                    </w:trPr>
                    <w:tc>
                      <w:tcPr>
                        <w:tcW w:w="4370" w:type="pct"/>
                      </w:tcPr>
                      <w:p w:rsidR="006A2B1B" w:rsidRPr="006A2B1B" w:rsidRDefault="006A2B1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13. שר האוצר ממונה על ביצוע חוק זה והוא רשאי להתקין תקנות בכל הנוגע לביצועו.</w:t>
                        </w:r>
                      </w:p>
                    </w:tc>
                    <w:tc>
                      <w:tcPr>
                        <w:tcW w:w="630" w:type="pct"/>
                      </w:tcPr>
                      <w:p w:rsidR="006A2B1B" w:rsidRPr="006A2B1B" w:rsidRDefault="006A2B1B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ותקנות</w:t>
                        </w:r>
                      </w:p>
                    </w:tc>
                  </w:tr>
                </w:tbl>
                <w:p w:rsidR="006A2B1B" w:rsidRDefault="006A2B1B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02401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2401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9D6D8C2-F849-41EE-BDC5-5F754E3D2B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024013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323DD2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6A2B1B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18</Characters>
  <Application>Microsoft Office Word</Application>
  <DocSecurity>4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2008-04-06T23:02:00Z</dcterms:created>
  <dcterms:modified xsi:type="dcterms:W3CDTF">2008-04-06T23:03:00Z</dcterms:modified>
</cp:coreProperties>
</file>