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5A70" w:rsidRDefault="00E95A70">
      <w:pPr>
        <w:rPr>
          <w:rtl/>
        </w:rPr>
      </w:pPr>
    </w:p>
    <w:p w:rsidR="00E95A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04" inset="0,0,0,0">
              <w:txbxContent>
                <w:p w:rsidR="00BF7CA3" w:rsidRDefault="00BF7CA3">
                  <w:r>
                    <w:rPr>
                      <w:rtl/>
                    </w:rPr>
                    <w:t>131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05" o:spid="_x0000_s1026" type="#_x0000_t202" style="position:absolute;left:0;text-align:left;margin-left:148.5pt;margin-top:666.65pt;width:401.15pt;height:82.95pt;z-index:3;mso-position-horizontal-relative:page;mso-position-vertical-relative:page" stroked="f">
            <v:textbox style="mso-next-textbox:#_x0000_s11805" inset="0,0,0,0">
              <w:txbxContent>
                <w:p w:rsidR="00BF7CA3" w:rsidRDefault="00BF7CA3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בניסן תשל''ח (5 באפריל 1978); הצעת החוק ודברי הסבר פורסמו בה"ח 1333,</w:t>
                  </w:r>
                </w:p>
                <w:p w:rsidR="00BF7CA3" w:rsidRDefault="00BF7CA3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תשל"ח, עמי138.</w:t>
                  </w:r>
                </w:p>
                <w:p w:rsidR="00BF7CA3" w:rsidRPr="00E95A70" w:rsidRDefault="00BF7CA3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1 דיני מדינת ישראל, נוסח חדש 6, עמ' 120; ס"ח תשל"ז, עמ' 194.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06" o:spid="_x0000_s1027" type="#_x0000_t202" style="position:absolute;left:0;text-align:left;margin-left:98.6pt;margin-top:296.8pt;width:452.65pt;height:364.7pt;z-index:2;mso-position-horizontal-relative:page;mso-position-vertical-relative:page" stroked="f">
            <v:textbox style="mso-next-textbox:#_x0000_s1180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7"/>
                    <w:gridCol w:w="7222"/>
                  </w:tblGrid>
                  <w:tr w:rsidR="00BF7CA3" w:rsidRPr="00E95A70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"מעביד" - כל המשלם הכנסת עבודה או האחראי לתשלומה;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עבודה'/ למעט -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תשלומים שניתנו לעובד לכיסוי הוצאותיו בשל החזקת רכב וכן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שימוש ברכב שהועמד לרשותו של עובד;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בשל החזקת טלפון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מגוריו;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עבודה כאמור בסעיף 3 (ט) לפקודה;</w:t>
                        </w:r>
                      </w:p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כ' בתשרי תשמ"ב (30 בספטמבר 1981).</w:t>
                        </w:r>
                      </w:p>
                    </w:tc>
                  </w:tr>
                  <w:tr w:rsidR="00BF7CA3" w:rsidRPr="00E95A70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מעביד יהא חייב למדינה בשנת המס 1978 במילווה חסכון בשיעור של 4.75%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הכנסת עבודה ששילם בשנת המס 1978 (להלן - המילווה).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ככל דין, גם על חבר בני אדם שדינו לענין תשלום</w:t>
                        </w:r>
                      </w:p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מסים, אגרות ותשלומי חובה אחרים כדין המדינה.</w:t>
                        </w:r>
                      </w:p>
                    </w:tc>
                  </w:tr>
                  <w:tr w:rsidR="00BF7CA3" w:rsidRPr="00E95A70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רשויות מקומיות ומוסדות ציבור פטורים ממילווה; לענין זה, "מוסדות ציבור" -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לדת, לתרבות, לחינוך, למדע, לבריאות, לסעד, לספורט או למטרה ציבורית אחרת,</w:t>
                        </w:r>
                      </w:p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מיועדים להפקת רווחים ושקבע אותם לענין זה שר האוצר באישור ועדת הכספים</w:t>
                        </w:r>
                      </w:p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</w:tr>
                  <w:tr w:rsidR="00BF7CA3" w:rsidRPr="00E95A70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המילווה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F7CA3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מעביד ישלם לפקיד השומה את המילווה במועד שנקבע, ויגיש לו באותו מועד דין</w:t>
                        </w:r>
                      </w:p>
                      <w:p w:rsidR="00BF7CA3" w:rsidRPr="00E95A70" w:rsidRDefault="00BF7C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שנקבע.</w:t>
                        </w:r>
                      </w:p>
                    </w:tc>
                  </w:tr>
                </w:tbl>
                <w:p w:rsidR="00BF7CA3" w:rsidRDefault="00BF7C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07" o:spid="_x0000_s1028" type="#_x0000_t202" style="position:absolute;left:0;text-align:left;margin-left:239.95pt;margin-top:262.95pt;width:211.45pt;height:32.25pt;z-index:1;mso-position-horizontal-relative:page;mso-position-vertical-relative:page" stroked="f">
            <v:textbox style="mso-next-textbox:#_x0000_s11807" inset="0,0,0,0">
              <w:txbxContent>
                <w:p w:rsidR="00BF7CA3" w:rsidRPr="00E95A70" w:rsidRDefault="00BF7CA3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תשל"ח-1978*</w:t>
                  </w:r>
                </w:p>
              </w:txbxContent>
            </v:textbox>
            <w10:wrap anchorx="page" anchory="page"/>
          </v:shape>
        </w:pict>
      </w:r>
    </w:p>
    <w:p w:rsidR="00284378" w:rsidRDefault="00284378">
      <w:pPr>
        <w:rPr>
          <w:rtl/>
        </w:rPr>
      </w:pPr>
      <w:r>
        <w:rPr>
          <w:rtl/>
        </w:rPr>
        <w:br w:type="page"/>
      </w:r>
    </w:p>
    <w:p w:rsidR="00284378" w:rsidRDefault="00000000">
      <w:pPr>
        <w:rPr>
          <w:rtl/>
        </w:rPr>
      </w:pPr>
      <w:r>
        <w:pict>
          <v:shape id="_x0000_s1180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08" inset="0,0,0,0">
              <w:txbxContent>
                <w:p w:rsidR="00BF7CA3" w:rsidRDefault="00BF7CA3">
                  <w:r>
                    <w:rPr>
                      <w:rtl/>
                    </w:rPr>
                    <w:t>132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09" o:spid="_x0000_s1030" type="#_x0000_t202" style="position:absolute;left:0;text-align:left;margin-left:90.6pt;margin-top:670.9pt;width:396pt;height:71.85pt;z-index:6;mso-position-horizontal-relative:page;mso-position-vertical-relative:page" stroked="f">
            <v:textbox style="mso-next-textbox:#_x0000_s11809" inset="0,0,0,0">
              <w:txbxContent>
                <w:p w:rsidR="00BF7CA3" w:rsidRDefault="00BF7CA3">
                  <w:pPr>
                    <w:pStyle w:val="OCRStyle2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8.</w:t>
                  </w:r>
                </w:p>
                <w:p w:rsidR="00BF7CA3" w:rsidRDefault="00BF7CA3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תשל"א, עמ' .690</w:t>
                  </w:r>
                </w:p>
                <w:p w:rsidR="00BF7CA3" w:rsidRPr="00284378" w:rsidRDefault="00BF7CA3">
                  <w:pPr>
                    <w:pStyle w:val="OCRStyle2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תשכ"ז,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0" o:spid="_x0000_s1031" type="#_x0000_t202" style="position:absolute;left:0;text-align:left;margin-left:88.25pt;margin-top:66pt;width:464.5pt;height:596.4pt;z-index:5;mso-position-horizontal-relative:page;mso-position-vertical-relative:page" stroked="f">
            <v:textbox style="mso-next-textbox:#_x0000_s118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3"/>
                    <w:gridCol w:w="1142"/>
                  </w:tblGrid>
                  <w:tr w:rsidR="00BF7CA3" w:rsidRPr="0028437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מעביד שלא שילם את המילווה או לא מסר לפקיד השומה דו"ח או מסר דו"ח אך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להניח שהדו"ח איננו נכון - רשאי פקיד השומה לשום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המילווה ודין שומה לפי סעיף זה כדין שומה לפי סעיף 167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F7CA3" w:rsidRPr="00284378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המילווה</w:t>
                        </w:r>
                      </w:p>
                    </w:tc>
                  </w:tr>
                  <w:tr w:rsidR="00BF7CA3" w:rsidRPr="0028437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F7CA3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המילווה ישא ריבית בשיעור של 3% לשנה החל מיום ד' בניסן תשל"ט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1979).</w:t>
                        </w:r>
                      </w:p>
                      <w:p w:rsidR="00BF7CA3" w:rsidRPr="00284378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הריבית תהיה פטורה ממס הכנסה.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F7CA3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BF7CA3" w:rsidRPr="00284378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BF7CA3" w:rsidRPr="0028437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F7CA3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בסעיף זה -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כחוק מילווה בטחון, תשי"ז-1956 2;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1978;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התברר בעת פרעונו של חלק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 המילווה כי המדד החדש עולה על המדד היסודי, ייפרע המילווה כשהוא מוגדל</w:t>
                        </w:r>
                      </w:p>
                      <w:p w:rsidR="00BF7CA3" w:rsidRPr="00284378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ב-90% משיעור העליה של המדד החדש.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F7CA3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BF7CA3" w:rsidRPr="00284378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</w:tr>
                  <w:tr w:rsidR="00BF7CA3" w:rsidRPr="0028437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F7CA3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על סכום מילווה ששילם מעביד עד התאריך הקובע, יינתנו לו תעודות רשומות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יום ח' בניסן תשמ"ב (1 באפריל 1982).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ופדיונן, וכן בדבר היתרות</w:t>
                        </w:r>
                      </w:p>
                      <w:p w:rsidR="00BF7CA3" w:rsidRPr="00284378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F7CA3" w:rsidRPr="00284378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</w:tr>
                  <w:tr w:rsidR="00BF7CA3" w:rsidRPr="0028437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F7CA3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תעודות המילווה לא יהיו סחירות ולא יהיו ניתנות להעברה למעט העברות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הדין.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 אלא כבטוחה -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לחיוב של בעל התעודות או של הזכאי לקבלתן, שהמדינה ערבה לו, או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המדינה בעד ערבותה;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 לקבלתן במסגרת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מוכוון כמשמעותו בסעיף 8 להוראות בנק ישראל (נכסים נזילים),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תשל"א-31971, ושר החקלאות ושר התעשיה, המסחר והתיירות, או מי שהם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אחד מהם הסמיכו, אישר את השעבוד.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 למי שלטובתו נעשה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זכות עדיפות להיפרע מהתעודות על פני כל נושה אחר, אף שלא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תנאי סעיף 4 לחוק המשכון, תשכ"ז-1967 .4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ששועבדו או שהזכות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שועבדה.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 בתקנות הוראות לענין מתן הודעה לבנק ישראל והרי-</w:t>
                        </w:r>
                      </w:p>
                      <w:p w:rsidR="00BF7CA3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שומים שיעשה בנק ישראל, וכן למי יימסרו תעודות המילווה שהן או הזכות</w:t>
                        </w:r>
                      </w:p>
                      <w:p w:rsidR="00BF7CA3" w:rsidRPr="00284378" w:rsidRDefault="00BF7C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שועבדו או דמי פדיונן של תעודות כאמור.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F7CA3" w:rsidRPr="00284378" w:rsidRDefault="00BF7C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ושעבוד</w:t>
                        </w:r>
                      </w:p>
                    </w:tc>
                  </w:tr>
                </w:tbl>
                <w:p w:rsidR="00BF7CA3" w:rsidRDefault="00BF7C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F7CA3" w:rsidRDefault="00BF7CA3">
      <w:pPr>
        <w:rPr>
          <w:rtl/>
        </w:rPr>
      </w:pPr>
      <w:r>
        <w:rPr>
          <w:rtl/>
        </w:rPr>
        <w:br w:type="page"/>
      </w:r>
    </w:p>
    <w:p w:rsidR="00BF7CA3" w:rsidRDefault="00000000">
      <w:pPr>
        <w:rPr>
          <w:rtl/>
        </w:rPr>
      </w:pPr>
      <w:r>
        <w:pict>
          <v:shape id="_x0000_s1181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811" inset="0,0,0,0">
              <w:txbxContent>
                <w:p w:rsidR="00BF7CA3" w:rsidRDefault="00BF7CA3">
                  <w:r>
                    <w:rPr>
                      <w:rtl/>
                    </w:rPr>
                    <w:t>133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2" o:spid="_x0000_s1033" type="#_x0000_t202" style="position:absolute;left:0;text-align:left;margin-left:174.55pt;margin-top:329.2pt;width:98pt;height:41.4pt;z-index:11;mso-position-horizontal-relative:page;mso-position-vertical-relative:page" stroked="f">
            <v:textbox style="mso-next-textbox:#_x0000_s11812" inset="0,0,0,0">
              <w:txbxContent>
                <w:p w:rsidR="00BF7CA3" w:rsidRDefault="00BF7CA3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BF7CA3" w:rsidRDefault="00BF7CA3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3" o:spid="_x0000_s1034" type="#_x0000_t202" style="position:absolute;left:0;text-align:left;margin-left:309.8pt;margin-top:327.45pt;width:78pt;height:35.65pt;z-index:10;mso-position-horizontal-relative:page;mso-position-vertical-relative:page" stroked="f">
            <v:textbox style="mso-next-textbox:#_x0000_s11813" inset="0,0,0,0">
              <w:txbxContent>
                <w:p w:rsidR="00BF7CA3" w:rsidRDefault="00BF7CA3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F7CA3" w:rsidRDefault="00BF7CA3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4" o:spid="_x0000_s1035" type="#_x0000_t202" style="position:absolute;left:0;text-align:left;margin-left:430.95pt;margin-top:358.7pt;width:120pt;height:35.65pt;z-index:9;mso-position-horizontal-relative:page;mso-position-vertical-relative:page" stroked="f">
            <v:textbox style="mso-next-textbox:#_x0000_s11814" inset="0,0,0,0">
              <w:txbxContent>
                <w:p w:rsidR="00BF7CA3" w:rsidRDefault="00BF7CA3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F7CA3" w:rsidRDefault="00BF7CA3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5" o:spid="_x0000_s1036" type="#_x0000_t202" style="position:absolute;left:0;text-align:left;margin-left:90.8pt;margin-top:65.1pt;width:456pt;height:257.2pt;z-index:8;mso-position-horizontal-relative:page;mso-position-vertical-relative:page" stroked="f">
            <v:textbox style="mso-next-textbox:#_x0000_s1181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110"/>
                  </w:tblGrid>
                  <w:tr w:rsidR="00BF7CA3" w:rsidRPr="00BF7CA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F7CA3" w:rsidRP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.(א) 50% מסך כל סכומי המילווה ייפרעו בשלושה שיעולים שנתיים רצופים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ושווים ב-1 באוגוסט של כל שנה, החל בשנת 1982, ויתרם בשלושה שיעורים שנתיים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ושווים כ-1 באוגוסט של כל שנה החל בשנת המס 1987, והכל בצירוף ריבית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6.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מילווה ששילם מעביד לגבי עסק פלוני בסכום</w:t>
                        </w:r>
                      </w:p>
                      <w:p w:rsidR="00BF7CA3" w:rsidRP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1,000 לירות ייפדה במלואו ביום י"ב באב תשמ"ב (1 באוגוסט 1982).</w:t>
                        </w:r>
                      </w:p>
                    </w:tc>
                  </w:tr>
                  <w:tr w:rsidR="00BF7CA3" w:rsidRPr="00BF7CA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מילויה שלא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שולט עי</w:t>
                        </w:r>
                      </w:p>
                      <w:p w:rsidR="00BF7CA3" w:rsidRP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התאריך הקובע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האוצר, באישור ועדת הכספים של הכנסת, רשאי לקבוע כתקנות מה יהיה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מילווה שלא שולם עד התאריך הקובע? כתקנות אלה ניתן גם לקבוע כי המילווה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  <w:p w:rsid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יבול שיהיו כלליות או לסוגים של חייבים במילווה</w:t>
                        </w:r>
                      </w:p>
                      <w:p w:rsidR="00BF7CA3" w:rsidRP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המילווה.</w:t>
                        </w:r>
                      </w:p>
                    </w:tc>
                  </w:tr>
                  <w:tr w:rsidR="00BF7CA3" w:rsidRPr="00BF7CA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BF7CA3" w:rsidRP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הוראות הפקודה יחולו על המילווה כאילו היה חלק מהמס, והוא במידה שאין בחוק</w:t>
                        </w:r>
                      </w:p>
                      <w:p w:rsidR="00BF7CA3" w:rsidRP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זד. הוראה אחרת לאותו ענין.</w:t>
                        </w:r>
                      </w:p>
                    </w:tc>
                  </w:tr>
                  <w:tr w:rsidR="00BF7CA3" w:rsidRPr="00BF7CA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F7CA3" w:rsidRPr="00BF7CA3" w:rsidRDefault="00BF7CA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F7CA3" w:rsidRPr="00BF7CA3" w:rsidRDefault="00BF7C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BF7CA3" w:rsidRDefault="00BF7C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5A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A1DD14-9BAA-4A6C-807A-A000BE5D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5A7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8437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F7CA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2008-04-06T23:39:00Z</dcterms:created>
  <dcterms:modified xsi:type="dcterms:W3CDTF">2008-04-06T23:39:00Z</dcterms:modified>
</cp:coreProperties>
</file>