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3CBE" w:rsidRDefault="00673CBE">
      <w:pPr>
        <w:rPr>
          <w:rtl/>
        </w:rPr>
      </w:pPr>
    </w:p>
    <w:p w:rsidR="00673C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858" inset="0,0,0,0">
              <w:txbxContent>
                <w:p w:rsidR="00A2714D" w:rsidRDefault="00A2714D">
                  <w:r>
                    <w:rPr>
                      <w:rtl/>
                    </w:rPr>
                    <w:t>2                                            ספר החוקים 351                   ו' בחשון התשכ"ב 16.10.1961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59" o:spid="_x0000_s1026" type="#_x0000_t202" style="position:absolute;left:0;text-align:left;margin-left:81.45pt;margin-top:630.65pt;width:377pt;height:109.3pt;z-index:3;mso-position-horizontal-relative:page;mso-position-vertical-relative:page" stroked="f">
            <v:textbox style="mso-next-textbox:#_x0000_s11859" inset="0,0,0,0">
              <w:txbxContent>
                <w:p w:rsidR="00A2714D" w:rsidRDefault="00A2714D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לי בתשרי תשכ''ב (10 באוקטובר 1061); הצעת החוק ודברי הסבר פורסמו בה''ח 477, תשכ"ב,</w:t>
                  </w:r>
                </w:p>
                <w:p w:rsidR="00A2714D" w:rsidRDefault="00A2714D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עמי 2.</w:t>
                  </w:r>
                </w:p>
                <w:p w:rsidR="00A2714D" w:rsidRDefault="00A2714D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ישראל/ נוסח חדש/ 6/ עמי 120.</w:t>
                  </w:r>
                </w:p>
                <w:p w:rsidR="00A2714D" w:rsidRDefault="00A2714D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2 ס"ה 41, תש"י, עמ' .129</w:t>
                  </w:r>
                </w:p>
                <w:p w:rsidR="00A2714D" w:rsidRDefault="00A2714D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3 ס"ח 293, תשי"ט, עמ' .234</w:t>
                  </w:r>
                </w:p>
                <w:p w:rsidR="00A2714D" w:rsidRPr="00673CBE" w:rsidRDefault="00A2714D">
                  <w:pPr>
                    <w:pStyle w:val="OCRStyle1"/>
                    <w:ind w:left="3740"/>
                  </w:pPr>
                  <w:r>
                    <w:rPr>
                      <w:rtl/>
                    </w:rPr>
                    <w:t>ספר החוקים 851, ו' בחשון תשכ"ב, 16.10.1961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60" o:spid="_x0000_s1027" type="#_x0000_t202" style="position:absolute;left:0;text-align:left;margin-left:78.85pt;margin-top:101.6pt;width:472.65pt;height:523.5pt;z-index:2;mso-position-horizontal-relative:page;mso-position-vertical-relative:page" stroked="f">
            <v:textbox style="mso-next-textbox:#_x0000_s118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8"/>
                    <w:gridCol w:w="1256"/>
                  </w:tblGrid>
                  <w:tr w:rsidR="00A2714D" w:rsidRPr="00673CBE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A2714D" w:rsidRDefault="00A2714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הכנסה1 (להלן - הפקודה);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"המס הקובע" - המס שאדם חייב בו לשנת 1961, לרבות המס על ריווח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אך למעט -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מס על הכנסה שלגביה ניתנת הנחה ממס לפי סעיפים 11 ו-13 לחוק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הון, תש"י-21950, והסעיפים 47,46 ו-50 לחוק לעידוד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תשי"ט-31959;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 על הכנסה מריבית או מדיבידנד שלגביה ניתנת הנחה לפי כל דין;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שתושב-חוץ חייב בו על הכנסתו מהמקורות המפורשים בפס-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קאות (4) ו-(5) לסעיף 2 לפקודה :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שלגבי יחיד הפטור מהגשת דו"ח על פי צו לפי סעיף 134 לפקודה, יראו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המס שנוכה מהכנסתו לפי סעיף 164 לפקודה כמט הקובע, כל עוד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נקבע סכום אחר בשומה שנערכה על פי בקשה שהגיש עד יום ג' בתשרי</w:t>
                        </w:r>
                      </w:p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 (1 באוקטובר 1962).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A2714D" w:rsidRPr="00673CBE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אדם יהא חייב במילווה למדינה שיוקדש לקליטת העליה (להלן -- המילווה), בשיעור</w:t>
                        </w:r>
                      </w:p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6% מהמס הקובע.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</w:tr>
                  <w:tr w:rsidR="00A2714D" w:rsidRPr="00673CBE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יחיד שסכום המילווה שהוא חייב בו אינו עולה על 10 לירות יהא פטור ממילווה,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שאיש ואשה שהמס על הכנסתם מחושב בנפרד לפי סעיף 66 לפקודה לא יהיו</w:t>
                        </w:r>
                      </w:p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כאמור אלא אם סכום המילווה ששניהם יחד חייבים בו אינו עולה על 10 לירות.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</w:tr>
                  <w:tr w:rsidR="00A2714D" w:rsidRPr="00673CBE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המילווה ייפרע ב-10 שיעורים שנתיים שווים החל משנת המס 1967; אלא שלגבי מי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השלים את המילווה עד ליום ד' בטבת תשכ"ג (31 בדצמבר 1962), רשאי שר האוצר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מועד אחר לפרעון המילווה, כולו או מקצתו, בשיעורים ובתנאים שיקבע;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וסעיפים 6 ו-7, "השלים את המילווה" - לרבות מי ששילם או שנוכה</w:t>
                        </w:r>
                      </w:p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כאמור בסעיף 8.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</w:tc>
                  </w:tr>
                  <w:tr w:rsidR="00A2714D" w:rsidRPr="00673CBE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על סכום המילווה יינתנו תעודות מילווה; שר האוצר יקבע את ההוראות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התעודות, לרבות אלה שיחולו על הוצאתן, סחירותן ופדיונן.</w:t>
                        </w:r>
                      </w:p>
                      <w:p w:rsidR="00A2714D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יהיו רק על סכום לירות המתחלק לחמש ללא יתרה; ולגבי יתרות</w:t>
                        </w:r>
                      </w:p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 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A2714D" w:rsidRPr="00673CBE" w:rsidRDefault="00A271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</w:t>
                        </w:r>
                      </w:p>
                    </w:tc>
                  </w:tr>
                </w:tbl>
                <w:p w:rsidR="00A2714D" w:rsidRDefault="00A271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61" o:spid="_x0000_s1028" type="#_x0000_t202" style="position:absolute;left:0;text-align:left;margin-left:169.15pt;margin-top:65pt;width:220.35pt;height:32.45pt;z-index:1;mso-position-horizontal-relative:page;mso-position-vertical-relative:page" stroked="f">
            <v:textbox style="mso-next-textbox:#_x0000_s11861" inset="0,0,0,0">
              <w:txbxContent>
                <w:p w:rsidR="00A2714D" w:rsidRPr="00673CBE" w:rsidRDefault="00A2714D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מילווה קליטה, תשכ"ב-1961 *</w:t>
                  </w:r>
                </w:p>
              </w:txbxContent>
            </v:textbox>
            <w10:wrap anchorx="page" anchory="page"/>
          </v:shape>
        </w:pict>
      </w:r>
    </w:p>
    <w:p w:rsidR="00D0130D" w:rsidRDefault="00D0130D">
      <w:pPr>
        <w:rPr>
          <w:rtl/>
        </w:rPr>
      </w:pPr>
      <w:r>
        <w:rPr>
          <w:rtl/>
        </w:rPr>
        <w:br w:type="page"/>
      </w:r>
    </w:p>
    <w:p w:rsidR="00D0130D" w:rsidRDefault="00000000">
      <w:pPr>
        <w:rPr>
          <w:rtl/>
        </w:rPr>
      </w:pPr>
      <w:r>
        <w:pict>
          <v:shape id="_x0000_s118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862" inset="0,0,0,0">
              <w:txbxContent>
                <w:p w:rsidR="00A2714D" w:rsidRDefault="00A2714D">
                  <w:r>
                    <w:rPr>
                      <w:rtl/>
                    </w:rPr>
                    <w:t>3                                            ספר החוקים 351                   ו' בחשון התשכ"ב 16.10.1961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63" o:spid="_x0000_s1030" type="#_x0000_t202" style="position:absolute;left:0;text-align:left;margin-left:357.75pt;margin-top:679.05pt;width:195.45pt;height:64.55pt;z-index:6;mso-position-horizontal-relative:page;mso-position-vertical-relative:page" stroked="f">
            <v:textbox style="mso-next-textbox:#_x0000_s11863" inset="0,0,0,0">
              <w:txbxContent>
                <w:p w:rsidR="00A2714D" w:rsidRPr="00D0130D" w:rsidRDefault="00A2714D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4 ס"ח 210, תשי"ז,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64" o:spid="_x0000_s1031" type="#_x0000_t202" style="position:absolute;left:0;text-align:left;margin-left:96.2pt;margin-top:61.5pt;width:462.35pt;height:612.8pt;z-index:5;mso-position-horizontal-relative:page;mso-position-vertical-relative:page" stroked="f">
            <v:textbox style="mso-next-textbox:#_x0000_s1186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138"/>
                  </w:tblGrid>
                  <w:tr w:rsidR="00A2714D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6" w:type="pct"/>
                      </w:tcPr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שסכום המילווה שהוא חייב בו עולה על 20 לירות, היתרה העולה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שתי לירות וחצי תעוגל לחמש, ויתרה שאינה עולה על שתי לירות וחצי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תובא בחשבון, בלי שישתנה בכך סכום המילווה שאדם חייב בו;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שסכום המילווה שהוא חייב בו אינו עולה על 20 לירות תיפדה היתרה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ובמועד שיקבע שר האוצר בתקנות.</w:t>
                        </w:r>
                      </w:p>
                    </w:tc>
                  </w:tr>
                  <w:tr w:rsidR="00A2714D" w:rsidRPr="00D0130D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צמוד</w:t>
                        </w:r>
                      </w:p>
                      <w:p w:rsidR="00A2714D" w:rsidRPr="00D0130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בסעיף זה -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תשי"ז-41956;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לגבי מי שהשלים את המילווה עד יום ד' בטבת תשכ"ג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1962) - מדד יוקר המחיה שנתפרסם לדצמבר של אותה שנה: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מי שלא השלים את המילווה עד לתאריך האמור - מדד יוקר המחיה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שנתפרסם לדצמבר של השנה שבה השלים את המילווה;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המדד שנתפרסם לדצמבר שלפני הגיע מועד פרעונו של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פלוני מהמילווה.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יהיה צמוד למדד יוקר המחיה: התברר בעת פרעונו של חלק פלוני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מהמילווה כי המדד החדש עולה על המדד היסודי' ייפרע אותו חלק כשהוא מוגדל באופן</w:t>
                        </w:r>
                      </w:p>
                      <w:p w:rsidR="00A2714D" w:rsidRPr="00D0130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לשיעור העליה של המדד החדש.</w:t>
                        </w:r>
                      </w:p>
                    </w:tc>
                  </w:tr>
                  <w:tr w:rsidR="00A2714D" w:rsidRPr="00D0130D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ישא</w:t>
                        </w:r>
                      </w:p>
                      <w:p w:rsidR="00A2714D" w:rsidRPr="00D0130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רימית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המילווה ישא ריבית בלתי צמודה בשיעור של 4% לשנה - לגבי מי שהשלים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המילווה עד יום ד' בטבת תשכ"ג (31 בדצמבר 1962)' החל מיום ה' בטבת תשכ"ג (1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1963)5 ולגבי מי שלא השלים את המילווה עד לתאריך האמור - החל מיום 1 בינואר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השנה שלאחר השנה שבה השלים את המילווה.</w:t>
                        </w:r>
                      </w:p>
                      <w:p w:rsidR="00A2714D" w:rsidRPr="00D0130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חוץ מן המס שינוכה לפי סעיף 161 לפקודה.</w:t>
                        </w:r>
                      </w:p>
                    </w:tc>
                  </w:tr>
                  <w:tr w:rsidR="00A2714D" w:rsidRPr="00D0130D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על</w:t>
                        </w:r>
                      </w:p>
                      <w:p w:rsidR="00A2714D" w:rsidRPr="00D0130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החייב בתשלום מקדמות לפי סעיף 176 לפקודה ישלם על חשבון המילווה  7.5%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המקדמות שהוא חייב בהן לשנת המס 1961 , בשני שיעורים שווים, האחד ביום ג'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תשכ"ב (10 בדצמבר 1961) והשני ביום רי כאדר כ' תשכ"ב (10 במרס 1962).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בתשלום מקדמות לפי סעיף 175 לפקודה ישלם על חשבון המילווה ביום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בשבט תשכ"ב (10 בינואר 1962) 7.5% מסך כל המקדמות שהוא חייב בהן לשנת המס 1961.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אדם האחראי לתשלום הכנסת עבודה או הכנסה לפי סעיף 2 (5) לפקודה,</w:t>
                        </w:r>
                      </w:p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לחדשים אוקטובר 1961 עד מרס 1962, ינכה ממנה יחד עם המס שהוא חייב לנכות לפי סעיף</w:t>
                        </w:r>
                      </w:p>
                      <w:p w:rsidR="00A2714D" w:rsidRPr="00D0130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 לפקודה סכום נוסף על חשבון המילווה בשיעור של 12% מהמס שהוא חייב לנכות.</w:t>
                        </w:r>
                      </w:p>
                    </w:tc>
                  </w:tr>
                  <w:tr w:rsidR="00A2714D" w:rsidRPr="00D0130D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A2714D" w:rsidRPr="00D0130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הפקודה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A2714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.במידה שלא נאמר אחרת בחוק זה, יחולו הוראות הפקודה על המילווה כאילו היה</w:t>
                        </w:r>
                      </w:p>
                      <w:p w:rsidR="00A2714D" w:rsidRPr="00D0130D" w:rsidRDefault="00A271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מהמס.</w:t>
                        </w:r>
                      </w:p>
                    </w:tc>
                  </w:tr>
                </w:tbl>
                <w:p w:rsidR="00A2714D" w:rsidRDefault="00A271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2714D" w:rsidRDefault="00A2714D">
      <w:pPr>
        <w:rPr>
          <w:rtl/>
        </w:rPr>
      </w:pPr>
      <w:r>
        <w:rPr>
          <w:rtl/>
        </w:rPr>
        <w:br w:type="page"/>
      </w:r>
    </w:p>
    <w:p w:rsidR="00A2714D" w:rsidRDefault="00000000">
      <w:pPr>
        <w:rPr>
          <w:rtl/>
        </w:rPr>
      </w:pPr>
      <w:r>
        <w:pict>
          <v:shape id="_x0000_s1186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1865" inset="0,0,0,0">
              <w:txbxContent>
                <w:p w:rsidR="00A2714D" w:rsidRDefault="00A2714D">
                  <w:r>
                    <w:rPr>
                      <w:rtl/>
                    </w:rPr>
                    <w:t>4                                            ספר החוקים 351                   ו' בחשון התשכ"ב 16.10.1961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66" o:spid="_x0000_s1033" type="#_x0000_t202" style="position:absolute;left:0;text-align:left;margin-left:85.15pt;margin-top:693.65pt;width:181.55pt;height:61.2pt;z-index:13;mso-position-horizontal-relative:page;mso-position-vertical-relative:page" stroked="f">
            <v:textbox style="mso-next-textbox:#_x0000_s11866" inset="0,0,0,0">
              <w:txbxContent>
                <w:p w:rsidR="00A2714D" w:rsidRDefault="00A2714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867" o:spid="_x0000_s1034" type="#_x0000_t202" style="position:absolute;left:0;text-align:left;margin-left:325.35pt;margin-top:630.9pt;width:145.35pt;height:46.35pt;z-index:12;mso-position-horizontal-relative:page;mso-position-vertical-relative:page" stroked="f">
            <v:textbox style="mso-next-textbox:#_x0000_s11867" inset="0,0,0,0">
              <w:txbxContent>
                <w:p w:rsidR="00A2714D" w:rsidRDefault="00A2714D">
                  <w:pPr>
                    <w:pStyle w:val="OCRStyle3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5 ס"ח 280, תשי"ט,  עמ' 103.</w:t>
                  </w:r>
                </w:p>
                <w:p w:rsidR="00A2714D" w:rsidRPr="00A2714D" w:rsidRDefault="00A2714D">
                  <w:pPr>
                    <w:pStyle w:val="OCRStyle3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284, תשי"ט, עמ' .140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68" o:spid="_x0000_s1035" type="#_x0000_t202" style="position:absolute;left:0;text-align:left;margin-left:116.05pt;margin-top:192.5pt;width:82.55pt;height:38.8pt;z-index:11;mso-position-horizontal-relative:page;mso-position-vertical-relative:page" stroked="f">
            <v:textbox style="mso-next-textbox:#_x0000_s11868" inset="0,0,0,0">
              <w:txbxContent>
                <w:p w:rsidR="00A2714D" w:rsidRDefault="00A2714D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2714D" w:rsidRDefault="00A2714D">
                  <w:pPr>
                    <w:pStyle w:val="OCRStyle3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69" o:spid="_x0000_s1036" type="#_x0000_t202" style="position:absolute;left:0;text-align:left;margin-left:214.25pt;margin-top:195.3pt;width:117pt;height:37.8pt;z-index:10;mso-position-horizontal-relative:page;mso-position-vertical-relative:page" stroked="f">
            <v:textbox style="mso-next-textbox:#_x0000_s11869" inset="0,0,0,0">
              <w:txbxContent>
                <w:p w:rsidR="00A2714D" w:rsidRDefault="00A2714D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2714D" w:rsidRDefault="00A2714D">
                  <w:pPr>
                    <w:pStyle w:val="OCRStyle3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70" o:spid="_x0000_s1037" type="#_x0000_t202" style="position:absolute;left:0;text-align:left;margin-left:359.8pt;margin-top:220.25pt;width:122.15pt;height:42.15pt;z-index:9;mso-position-horizontal-relative:page;mso-position-vertical-relative:page" stroked="f">
            <v:textbox style="mso-next-textbox:#_x0000_s11870" inset="0,0,0,0">
              <w:txbxContent>
                <w:p w:rsidR="00A2714D" w:rsidRDefault="00A2714D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2714D" w:rsidRDefault="00A2714D">
                  <w:pPr>
                    <w:pStyle w:val="OCRStyle3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71" o:spid="_x0000_s1038" type="#_x0000_t202" style="position:absolute;left:0;text-align:left;margin-left:80.8pt;margin-top:68.55pt;width:470.85pt;height:105.95pt;z-index:8;mso-position-horizontal-relative:page;mso-position-vertical-relative:page" stroked="f">
            <v:textbox style="mso-next-textbox:#_x0000_s1187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1"/>
                    <w:gridCol w:w="1329"/>
                  </w:tblGrid>
                  <w:tr w:rsidR="00A2714D" w:rsidRPr="00A2714D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A2714D" w:rsidRDefault="00A271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 שר האוצר ממונה על ביצוע חוק זה והוא רשאי להתקין תקנות בכל דבר הנוגע</w:t>
                        </w:r>
                      </w:p>
                      <w:p w:rsidR="00A2714D" w:rsidRDefault="00A271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ובלבד שתקנות לפי סעיפים 4 ו-5 יהיו טעונות אישור ועדת הכספים של הכנסת.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2714D" w:rsidRPr="00A2714D" w:rsidRDefault="00A271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A2714D" w:rsidRPr="00A2714D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A2714D" w:rsidRDefault="00A271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בטלים -</w:t>
                        </w:r>
                      </w:p>
                      <w:p w:rsidR="00A2714D" w:rsidRDefault="00A271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מילתה קליטה, תשי"ט-5 1959</w:t>
                        </w:r>
                      </w:p>
                      <w:p w:rsidR="00A2714D" w:rsidRPr="00A2714D" w:rsidRDefault="00A271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מילווה קליטה (הוראות שעה)' תשי"ט-. 1959 6.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A2714D" w:rsidRPr="00A2714D" w:rsidRDefault="00A271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A2714D" w:rsidRDefault="00A2714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73C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5E00FA-9F3B-412A-8444-145E1873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3C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0130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2714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2008-04-06T19:37:00Z</dcterms:created>
  <dcterms:modified xsi:type="dcterms:W3CDTF">2008-04-06T19:37:00Z</dcterms:modified>
</cp:coreProperties>
</file>