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55CD" w:rsidRDefault="00EC55CD">
      <w:pPr>
        <w:rPr>
          <w:rtl/>
        </w:rPr>
      </w:pPr>
    </w:p>
    <w:p w:rsidR="00EC55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35" inset="0,0,0,0">
              <w:txbxContent>
                <w:p w:rsidR="00EC55CD" w:rsidRDefault="00EC55CD">
                  <w:r>
                    <w:rPr>
                      <w:rtl/>
                    </w:rPr>
                    <w:t>47                                           ספר החוקים 589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6" o:spid="_x0000_s1026" type="#_x0000_t202" style="position:absolute;left:0;text-align:left;margin-left:142.25pt;margin-top:662.85pt;width:409.85pt;height:84.35pt;z-index:6;mso-wrap-style:none;mso-position-horizontal-relative:page;mso-position-vertical-relative:page" stroked="f">
            <v:textbox style="mso-next-textbox:#_x0000_s11936" inset="0,0,0,0">
              <w:txbxContent>
                <w:p w:rsidR="00EC55CD" w:rsidRDefault="00EC55CD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תש"ל (26 במרס 1970); הגעת החוק ודברי הסבר פורסמו בח''ח 870, תש"ל,</w:t>
                  </w:r>
                </w:p>
                <w:p w:rsidR="00EC55CD" w:rsidRDefault="00EC55CD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71.</w:t>
                  </w:r>
                </w:p>
                <w:p w:rsidR="00EC55CD" w:rsidRDefault="00EC55CD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תשכ"ו, עמ' 25.</w:t>
                  </w:r>
                </w:p>
                <w:p w:rsidR="00EC55CD" w:rsidRPr="00EC55CD" w:rsidRDefault="00EC55CD">
                  <w:pPr>
                    <w:pStyle w:val="OCRStyle1"/>
                    <w:ind w:left="44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7" o:spid="_x0000_s1027" type="#_x0000_t202" style="position:absolute;left:0;text-align:left;margin-left:175.9pt;margin-top:533.75pt;width:94.65pt;height:47.3pt;z-index:5;mso-wrap-style:none;mso-position-horizontal-relative:page;mso-position-vertical-relative:page" stroked="f">
            <v:textbox style="mso-next-textbox:#_x0000_s11937" inset="0,0,0,0">
              <w:txbxContent>
                <w:p w:rsidR="00EC55CD" w:rsidRDefault="00EC55C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C55CD" w:rsidRDefault="00EC55CD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8" o:spid="_x0000_s1028" type="#_x0000_t202" style="position:absolute;left:0;text-align:left;margin-left:301.45pt;margin-top:537.9pt;width:94.85pt;height:43.15pt;z-index:4;mso-wrap-style:none;mso-position-horizontal-relative:page;mso-position-vertical-relative:page" stroked="f">
            <v:textbox style="mso-next-textbox:#_x0000_s11938" inset="0,0,0,0">
              <w:txbxContent>
                <w:p w:rsidR="00EC55CD" w:rsidRDefault="00EC55C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C55CD" w:rsidRDefault="00EC55CD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9" o:spid="_x0000_s1029" type="#_x0000_t202" style="position:absolute;left:0;text-align:left;margin-left:418.65pt;margin-top:572.35pt;width:137.6pt;height:44.75pt;z-index:3;mso-wrap-style:none;mso-position-horizontal-relative:page;mso-position-vertical-relative:page" stroked="f">
            <v:textbox style="mso-next-textbox:#_x0000_s11939" inset="0,0,0,0">
              <w:txbxContent>
                <w:p w:rsidR="00EC55CD" w:rsidRDefault="00EC55CD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C55CD" w:rsidRDefault="00EC55CD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40" o:spid="_x0000_s1030" type="#_x0000_t202" style="position:absolute;left:0;text-align:left;margin-left:98.3pt;margin-top:352.95pt;width:451.05pt;height:168.7pt;z-index:2;mso-wrap-style:none;mso-position-horizontal-relative:page;mso-position-vertical-relative:page" stroked="f">
            <v:textbox style="mso-next-textbox:#_x0000_s11940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7009"/>
                  </w:tblGrid>
                  <w:tr w:rsidR="00EC55CD" w:rsidRPr="00EC55C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EC55CD" w:rsidRPr="00EC55CD" w:rsidRDefault="00EC55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EC55CD" w:rsidRDefault="00EC55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האמור בסעיף 3 לחוק מילווה קליטה וחסכון חובה (הארכה), תשכ"ו-11966, יסומן</w:t>
                        </w:r>
                      </w:p>
                      <w:p w:rsid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ואחריו יבוא:</w:t>
                        </w:r>
                      </w:p>
                      <w:p w:rsid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אם נגבו סכומים על חשבון</w:t>
                        </w:r>
                      </w:p>
                      <w:p w:rsid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ממי שהיה פטור ממנו, יחולו הוראות אלה:</w:t>
                        </w:r>
                      </w:p>
                      <w:p w:rsid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לירות, לא יוחזר הסכום:</w:t>
                        </w:r>
                      </w:p>
                      <w:p w:rsid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אך אינו עולה על 20</w:t>
                        </w:r>
                      </w:p>
                      <w:p w:rsid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יינתנו תעודות מילווה על פי סעיף 6; ואולם אם נגבה</w:t>
                        </w:r>
                      </w:p>
                      <w:p w:rsid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כאמור מאיש ואשה ביחד, רשאי פקיד השומה לפעול</w:t>
                        </w:r>
                      </w:p>
                      <w:p w:rsid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מחמש לירות</w:t>
                        </w:r>
                      </w:p>
                      <w:p w:rsidR="00EC55CD" w:rsidRPr="00EC55CD" w:rsidRDefault="00EC55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שנגבה מאחד מבני הזוג."</w:t>
                        </w:r>
                      </w:p>
                    </w:tc>
                  </w:tr>
                </w:tbl>
                <w:p w:rsidR="00EC55CD" w:rsidRDefault="00EC55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41" o:spid="_x0000_s1031" type="#_x0000_t202" style="position:absolute;left:0;text-align:left;margin-left:156.1pt;margin-top:299.5pt;width:376.2pt;height:44.75pt;z-index:1;mso-wrap-style:none;mso-position-horizontal-relative:page;mso-position-vertical-relative:page" stroked="f">
            <v:textbox style="mso-next-textbox:#_x0000_s11941" inset="0,0,0,0">
              <w:txbxContent>
                <w:p w:rsidR="00EC55CD" w:rsidRDefault="00EC55CD">
                  <w:pPr>
                    <w:pStyle w:val="OCRStyle1"/>
                    <w:ind w:left="23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קליטה וחסכון חובה (הארכה), תשכ"ו--1966 (תיקון),</w:t>
                  </w:r>
                </w:p>
                <w:p w:rsidR="00EC55CD" w:rsidRPr="00EC55CD" w:rsidRDefault="00EC55CD">
                  <w:pPr>
                    <w:pStyle w:val="OCRStyle1"/>
                    <w:ind w:left="25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55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DCBAA3-71C1-4AE5-8B4B-146123F1C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55C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2008-04-09T14:41:00Z</dcterms:created>
  <dcterms:modified xsi:type="dcterms:W3CDTF">2008-04-09T14:41:00Z</dcterms:modified>
</cp:coreProperties>
</file>