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6949" w:rsidRDefault="00B16949">
      <w:pPr>
        <w:rPr>
          <w:rtl/>
        </w:rPr>
      </w:pPr>
    </w:p>
    <w:p w:rsidR="00B169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51" inset="0,0,0,0">
              <w:txbxContent>
                <w:p w:rsidR="00B16949" w:rsidRDefault="00B16949">
                  <w:r>
                    <w:rPr>
                      <w:rtl/>
                    </w:rPr>
                    <w:t>91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2" o:spid="_x0000_s1026" type="#_x0000_t202" style="position:absolute;left:0;text-align:left;margin-left:176.9pt;margin-top:339.4pt;width:376.6pt;height:98pt;z-index:6;mso-position-horizontal-relative:page;mso-position-vertical-relative:page" stroked="f">
            <v:textbox style="mso-next-textbox:#_x0000_s12052" inset="0,0,0,0">
              <w:txbxContent>
                <w:p w:rsidR="00B16949" w:rsidRDefault="00B1694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בשבט תשל''ו(20 ביגואר 1976); הצעת החוק ודברי הסבר פורסמו בה"ח 1220/ תשל"ו,</w:t>
                  </w:r>
                </w:p>
                <w:p w:rsidR="00B16949" w:rsidRDefault="00B16949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עמי 124.</w:t>
                  </w:r>
                </w:p>
                <w:p w:rsidR="00B16949" w:rsidRPr="00B16949" w:rsidRDefault="00B16949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תש"ך, עמ' 47; תשכ''ב, עמי 129; תשל"ה, עמי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3" o:spid="_x0000_s1027" type="#_x0000_t202" style="position:absolute;left:0;text-align:left;margin-left:199.3pt;margin-top:265.35pt;width:109.1pt;height:38.8pt;z-index:5;mso-position-horizontal-relative:page;mso-position-vertical-relative:page" stroked="f">
            <v:textbox style="mso-next-textbox:#_x0000_s12053" inset="0,0,0,0">
              <w:txbxContent>
                <w:p w:rsidR="00B16949" w:rsidRDefault="00B1694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יהושע רבינוכיץ</w:t>
                  </w:r>
                </w:p>
                <w:p w:rsidR="00B16949" w:rsidRDefault="00B16949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4" o:spid="_x0000_s1028" type="#_x0000_t202" style="position:absolute;left:0;text-align:left;margin-left:339.85pt;margin-top:267.15pt;width:74.85pt;height:33.25pt;z-index:4;mso-position-horizontal-relative:page;mso-position-vertical-relative:page" stroked="f">
            <v:textbox style="mso-next-textbox:#_x0000_s12054" inset="0,0,0,0">
              <w:txbxContent>
                <w:p w:rsidR="00B16949" w:rsidRDefault="00B1694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 בין</w:t>
                  </w:r>
                </w:p>
                <w:p w:rsidR="00B16949" w:rsidRDefault="00B1694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5" o:spid="_x0000_s1029" type="#_x0000_t202" style="position:absolute;left:0;text-align:left;margin-left:474.9pt;margin-top:294.05pt;width:86.15pt;height:39.8pt;z-index:3;mso-position-horizontal-relative:page;mso-position-vertical-relative:page" stroked="f">
            <v:textbox style="mso-next-textbox:#_x0000_s12055" inset="0,0,0,0">
              <w:txbxContent>
                <w:p w:rsidR="00B16949" w:rsidRDefault="00B16949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16949" w:rsidRDefault="00B1694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6" o:spid="_x0000_s1030" type="#_x0000_t202" style="position:absolute;left:0;text-align:left;margin-left:116.9pt;margin-top:116.25pt;width:447.7pt;height:142.55pt;z-index:2;mso-position-horizontal-relative:page;mso-position-vertical-relative:page" stroked="f">
            <v:textbox style="mso-next-textbox:#_x0000_s1205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6948"/>
                  </w:tblGrid>
                  <w:tr w:rsidR="00B16949" w:rsidRPr="00B16949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16949" w:rsidRP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 לחוק מילווה פיתוח, תש"ך-1960  1(להלן _ החוק העיקרי), אחרי פסקה (2)</w:t>
                        </w:r>
                      </w:p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שאיגרות החוב המוצאות כאיגרות על שם בלבד לא</w:t>
                        </w:r>
                      </w:p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סחירות ולא יהיו ניתנות לשעבוד ולהעברת למעט הע-</w:t>
                        </w:r>
                      </w:p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ברות מכוח הדין, או שיהיו סחירות וניתנות לשעבוד ולהע-</w:t>
                        </w:r>
                      </w:p>
                      <w:p w:rsidR="00B16949" w:rsidRP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ברת באופן חלקי בלבד, לפי התנאים שנקבעו."</w:t>
                        </w:r>
                      </w:p>
                    </w:tc>
                  </w:tr>
                  <w:tr w:rsidR="00B16949" w:rsidRPr="00B16949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16949" w:rsidRP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העיקרי, בסעיף קטן (ב), אחרי "ניתנת להעברה" יבוא "בכפוף לכל</w:t>
                        </w:r>
                      </w:p>
                      <w:p w:rsidR="00B16949" w:rsidRPr="00B16949" w:rsidRDefault="00B1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או הגבלה לפי סעיף 6 (3)".</w:t>
                        </w:r>
                      </w:p>
                    </w:tc>
                  </w:tr>
                </w:tbl>
                <w:p w:rsidR="00B16949" w:rsidRDefault="00B169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57" o:spid="_x0000_s1031" type="#_x0000_t202" style="position:absolute;left:0;text-align:left;margin-left:233.35pt;margin-top:81.2pt;width:298pt;height:32.25pt;z-index:1;mso-position-horizontal-relative:page;mso-position-vertical-relative:page" stroked="f">
            <v:textbox style="mso-next-textbox:#_x0000_s12057" inset="0,0,0,0">
              <w:txbxContent>
                <w:p w:rsidR="00B16949" w:rsidRPr="00B16949" w:rsidRDefault="00B16949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14),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69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C50DEB-AE6F-4F80-8EA5-62504FD0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69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