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06D9" w:rsidRDefault="008206D9">
      <w:pPr>
        <w:rPr>
          <w:rtl/>
        </w:rPr>
      </w:pPr>
    </w:p>
    <w:p w:rsidR="008206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45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2345" inset="0,0,0,0">
              <w:txbxContent>
                <w:p w:rsidR="008206D9" w:rsidRDefault="008206D9">
                  <w:r>
                    <w:rPr>
                      <w:rtl/>
                    </w:rPr>
                    <w:t>6                                             ספר החוקים 3                     ו' בניסן התש"ט 05.04.1949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6" o:spid="_x0000_s1026" type="#_x0000_t202" style="position:absolute;left:0;text-align:left;margin-left:88.2pt;margin-top:95.95pt;width:418.95pt;height:679.55pt;z-index:1;mso-position-horizontal-relative:page;mso-position-vertical-relative:page" stroked="f">
            <v:textbox style="mso-next-textbox:#_x0000_s12346" inset="0,0,0,0">
              <w:txbxContent>
                <w:p w:rsidR="008206D9" w:rsidRDefault="008206D9">
                  <w:pPr>
                    <w:pStyle w:val="OCRStyle1"/>
                    <w:ind w:left="749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385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382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378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382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731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382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738"/>
                    <w:rPr>
                      <w:rtl/>
                    </w:rPr>
                  </w:pPr>
                </w:p>
                <w:p w:rsidR="008206D9" w:rsidRDefault="008206D9">
                  <w:pPr>
                    <w:pStyle w:val="OCRStyle1"/>
                    <w:ind w:left="103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המילווה העממי, תש"ט-1949 *</w:t>
                  </w:r>
                </w:p>
                <w:p w:rsidR="008206D9" w:rsidRDefault="008206D9">
                  <w:pPr>
                    <w:pStyle w:val="OCRStyle1"/>
                    <w:ind w:left="3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תיקון סעיף 3 (א)</w:t>
                  </w:r>
                </w:p>
                <w:p w:rsidR="008206D9" w:rsidRDefault="008206D9">
                  <w:pPr>
                    <w:pStyle w:val="OCRStyle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פקודת המילווה העממי, תש"ט-1948 1, תתוקן על ידי מחיקת הפסקה השניה</w:t>
                  </w:r>
                </w:p>
                <w:p w:rsidR="008206D9" w:rsidRDefault="008206D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של סעיף 3 (א).</w:t>
                  </w:r>
                </w:p>
                <w:p w:rsidR="008206D9" w:rsidRDefault="008206D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2* הרשאה לתקן תקנות.</w:t>
                  </w:r>
                </w:p>
                <w:p w:rsidR="008206D9" w:rsidRDefault="008206D9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שר האוצר מורשה בזה לתקן את תקנות המילווה העממי/ תש"ט-1949 2,</w:t>
                  </w:r>
                </w:p>
                <w:p w:rsidR="008206D9" w:rsidRDefault="008206D9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כדי להתאימן לתיקון שבסעיף הקודם וכדי לקבוע שכל הגרלה תכלול את כל</w:t>
                  </w:r>
                </w:p>
                <w:p w:rsidR="008206D9" w:rsidRDefault="008206D9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אגרות החוב שעדיין לא עלו בגורל.</w:t>
                  </w:r>
                </w:p>
                <w:p w:rsidR="008206D9" w:rsidRDefault="008206D9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תש"ט (4 באפריל 1949) הצעת החוק ודברי הסבר</w:t>
                  </w:r>
                </w:p>
                <w:p w:rsidR="008206D9" w:rsidRDefault="008206D9">
                  <w:pPr>
                    <w:pStyle w:val="OCRStyle1"/>
                    <w:ind w:left="9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מס' 4 מיום די בניסן תש"ט (49 4 8) ,עט' 23</w:t>
                  </w:r>
                </w:p>
                <w:p w:rsidR="008206D9" w:rsidRDefault="008206D9">
                  <w:pPr>
                    <w:pStyle w:val="OCRStyle1"/>
                    <w:ind w:left="7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38 מיום ט"ו בכסייו תש"ט (48 1712), תוס' אי, עמ' 78.</w:t>
                  </w:r>
                </w:p>
                <w:p w:rsidR="008206D9" w:rsidRPr="008206D9" w:rsidRDefault="008206D9">
                  <w:pPr>
                    <w:pStyle w:val="OCRStyle1"/>
                    <w:ind w:left="77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44 מיום כ' בטבת תש"ט   תוס' ב/ עט' 134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06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01266F-BE85-42CC-AF7F-32DAAC2B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06D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4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2008-04-06T17:31:00Z</dcterms:created>
  <dcterms:modified xsi:type="dcterms:W3CDTF">2008-04-06T17:31:00Z</dcterms:modified>
</cp:coreProperties>
</file>