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11D5" w:rsidRDefault="000E11D5">
      <w:pPr>
        <w:rPr>
          <w:rtl/>
        </w:rPr>
      </w:pPr>
    </w:p>
    <w:p w:rsidR="000E11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4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347" inset="0,0,0,0">
              <w:txbxContent>
                <w:p w:rsidR="000E11D5" w:rsidRDefault="000E11D5">
                  <w:r>
                    <w:rPr>
                      <w:rtl/>
                    </w:rPr>
                    <w:t>9                                             ספר החוקים 5                    י"ד בניסן התש"ט 13.04.1949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48" o:spid="_x0000_s1026" type="#_x0000_t202" style="position:absolute;left:0;text-align:left;margin-left:181.3pt;margin-top:680.65pt;width:368.1pt;height:87.7pt;z-index:3;mso-position-horizontal-relative:page;mso-position-vertical-relative:page" stroked="f">
            <v:textbox style="mso-next-textbox:#_x0000_s12348" inset="0,0,0,0">
              <w:txbxContent>
                <w:p w:rsidR="000E11D5" w:rsidRDefault="000E11D5">
                  <w:pPr>
                    <w:pStyle w:val="OCRStyle1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בניסן תש''ט (11 באפריל 1949).</w:t>
                  </w:r>
                </w:p>
                <w:p w:rsidR="000E11D5" w:rsidRPr="000E11D5" w:rsidRDefault="000E11D5">
                  <w:pPr>
                    <w:pStyle w:val="OCRStyle1"/>
                    <w:ind w:left="10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1( ע"ר מס' 38 מיום ט"ו בכסלו תש"ט (17.12.48) , תוס' א' עמ'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49" o:spid="_x0000_s1027" type="#_x0000_t202" style="position:absolute;left:0;text-align:left;margin-left:117.75pt;margin-top:230.2pt;width:403.7pt;height:275.4pt;z-index:2;mso-position-horizontal-relative:page;mso-position-vertical-relative:page" stroked="f">
            <v:textbox style="mso-next-textbox:#_x0000_s12349" inset="0,0,0,0">
              <w:txbxContent>
                <w:p w:rsidR="000E11D5" w:rsidRDefault="000E11D5">
                  <w:pPr>
                    <w:pStyle w:val="OCRStyle1"/>
                    <w:ind w:left="306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1 .תיקון הפקודה.</w:t>
                  </w:r>
                </w:p>
                <w:p w:rsidR="000E11D5" w:rsidRDefault="000E11D5">
                  <w:pPr>
                    <w:pStyle w:val="OCRStyle1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בפקודת המילווה העממי' תש"ט - 1948 1,  כפי שתוקנה 2, יבוא אחרי סעיף</w:t>
                  </w:r>
                </w:p>
                <w:p w:rsidR="000E11D5" w:rsidRDefault="000E11D5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3 סעיף זה:</w:t>
                  </w:r>
                </w:p>
                <w:p w:rsidR="000E11D5" w:rsidRDefault="000E11D5">
                  <w:pPr>
                    <w:pStyle w:val="OCRStyle1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,,3א. החזקת אגרות חוב בידי הממשלה.</w:t>
                  </w:r>
                </w:p>
                <w:p w:rsidR="000E11D5" w:rsidRDefault="000E11D5">
                  <w:pPr>
                    <w:pStyle w:val="OCRStyle1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(א) הממשלה רשאית להחזיק כמוכ"ז באגרות חוב ולזכות בעצמה</w:t>
                  </w:r>
                </w:p>
                <w:p w:rsidR="000E11D5" w:rsidRDefault="000E11D5">
                  <w:pPr>
                    <w:pStyle w:val="OCRStyle1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בכל פרס שישתלם על אגרות חוב שהיא מחזיקה בהן.</w:t>
                  </w:r>
                </w:p>
                <w:p w:rsidR="000E11D5" w:rsidRDefault="000E11D5">
                  <w:pPr>
                    <w:pStyle w:val="OCRStyle1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(ב) כל עוד לא הוציאה הממשלה את כל אגרות החוב שהיא מורשית</w:t>
                  </w:r>
                </w:p>
                <w:p w:rsidR="000E11D5" w:rsidRDefault="000E11D5">
                  <w:pPr>
                    <w:pStyle w:val="OCRStyle1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להוציא, רואים, לצורך כל הגרלה וחלוקת סכום הפרסים ופדיון אגרות</w:t>
                  </w:r>
                </w:p>
                <w:p w:rsidR="000E11D5" w:rsidRDefault="000E11D5">
                  <w:pPr>
                    <w:pStyle w:val="OCRStyle1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חוב לפי פקודה זו, כאילו הוציאה הממשלה ומחזיקה כמוכ"ז את</w:t>
                  </w:r>
                </w:p>
                <w:p w:rsidR="000E11D5" w:rsidRDefault="000E11D5">
                  <w:pPr>
                    <w:pStyle w:val="OCRStyle1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שארית אגרות החוב שלא הוציאה עד מועד ההגרלה.</w:t>
                  </w:r>
                </w:p>
                <w:p w:rsidR="000E11D5" w:rsidRDefault="000E11D5">
                  <w:pPr>
                    <w:pStyle w:val="OCRStyle1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(ג) הוראות סעיף זה לא ימנעו את הממשלה מהוציא אגרות חוב</w:t>
                  </w:r>
                </w:p>
                <w:p w:rsidR="000E11D5" w:rsidRDefault="000E11D5">
                  <w:pPr>
                    <w:pStyle w:val="OCRStyle1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שעדיץ לא עלו בגורל."</w:t>
                  </w:r>
                </w:p>
                <w:p w:rsidR="000E11D5" w:rsidRDefault="000E11D5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2. תחילת תוקף.</w:t>
                  </w:r>
                </w:p>
                <w:p w:rsidR="000E11D5" w:rsidRPr="000E11D5" w:rsidRDefault="000E11D5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תקפו של חוק זה הוא למפרע מיום ר בניסן תש"ט (5 באפריל 1949).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50" o:spid="_x0000_s1028" type="#_x0000_t202" style="position:absolute;left:0;text-align:left;margin-left:153.4pt;margin-top:194.55pt;width:356.6pt;height:33.05pt;z-index:1;mso-position-horizontal-relative:page;mso-position-vertical-relative:page" stroked="f">
            <v:textbox style="mso-next-textbox:#_x0000_s12350" inset="0,0,0,0">
              <w:txbxContent>
                <w:p w:rsidR="000E11D5" w:rsidRPr="000E11D5" w:rsidRDefault="000E11D5">
                  <w:pPr>
                    <w:pStyle w:val="OCRStyle1"/>
                    <w:ind w:left="400"/>
                    <w:rPr>
                      <w:sz w:val="28"/>
                      <w:szCs w:val="28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לתיקון פקודת המילווה העממי (מס' 2), תש"ט-1949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E11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D14887-3797-4032-8C64-6E09288F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E11D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4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2008-04-06T17:31:00Z</dcterms:created>
  <dcterms:modified xsi:type="dcterms:W3CDTF">2008-04-06T17:31:00Z</dcterms:modified>
</cp:coreProperties>
</file>