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0EA6" w:rsidRDefault="001D0EA6">
      <w:pPr>
        <w:rPr>
          <w:rtl/>
        </w:rPr>
      </w:pPr>
    </w:p>
    <w:p w:rsidR="001D0EA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36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2363" inset="0,0,0,0">
              <w:txbxContent>
                <w:p w:rsidR="00F75FB3" w:rsidRDefault="00F75FB3">
                  <w:r>
                    <w:rPr>
                      <w:rtl/>
                    </w:rPr>
                    <w:t>118                                          ספר החוקים 154                  ט' בסיוון התשי"ד 10.06.1954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64" o:spid="_x0000_s1026" type="#_x0000_t202" style="position:absolute;left:0;text-align:left;margin-left:67.35pt;margin-top:732.95pt;width:398.95pt;height:59pt;z-index:4;mso-position-horizontal-relative:page;mso-position-vertical-relative:page" stroked="f">
            <v:textbox style="mso-next-textbox:#_x0000_s12364" inset="0,0,0,0">
              <w:txbxContent>
                <w:p w:rsidR="00F75FB3" w:rsidRDefault="00F75FB3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באייר תשי"ד (31 במאי 1054) ; הצעת החוק ודברי הסבר נתפרסמו בה"ח</w:t>
                  </w:r>
                </w:p>
                <w:p w:rsidR="00F75FB3" w:rsidRPr="001D0EA6" w:rsidRDefault="00F75FB3">
                  <w:pPr>
                    <w:pStyle w:val="OCRStyle1"/>
                    <w:ind w:left="27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196, תשי"ד  עמ' 100.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65" o:spid="_x0000_s1027" type="#_x0000_t202" style="position:absolute;left:0;text-align:left;margin-left:74.9pt;margin-top:108.85pt;width:493.6pt;height:622.1pt;z-index:3;mso-position-horizontal-relative:page;mso-position-vertical-relative:page" stroked="f">
            <v:textbox style="mso-next-textbox:#_x0000_s1236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34"/>
                    <w:gridCol w:w="1339"/>
                  </w:tblGrid>
                  <w:tr w:rsidR="00F75FB3" w:rsidRPr="001D0EA6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F75FB3" w:rsidRDefault="00F75FB3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הממשלה מורשית בזה לקבל מילווה בסכום שלא יעלה על 6 מיליון לירות ולהוציא</w:t>
                        </w:r>
                      </w:p>
                      <w:p w:rsidR="00F75FB3" w:rsidRPr="001D0EA6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זו אגרות חוב למוכ"ז (להלן - אגרות חוב).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F75FB3" w:rsidRPr="001D0EA6" w:rsidRDefault="00F75F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ללוות</w:t>
                        </w:r>
                      </w:p>
                    </w:tc>
                  </w:tr>
                  <w:tr w:rsidR="00F75FB3" w:rsidRPr="001D0EA6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F75FB3" w:rsidRDefault="00F75F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כל אגרת חוב תהיה על סך עשרים לירות ומסומנת במספר סידורי.</w:t>
                        </w:r>
                      </w:p>
                      <w:p w:rsidR="00F75FB3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רשאית להוציא כל אגרת חוב בשני חצאים בסך של עשר לירות כל</w:t>
                        </w:r>
                      </w:p>
                      <w:p w:rsidR="00F75FB3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אחד, ושניהם יסומנו במספר סידורי אחד.</w:t>
                        </w:r>
                      </w:p>
                      <w:p w:rsidR="00F75FB3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דין חצי אגרת חוב של עשר לירות כדין אגרת חוב של עשרים לירות לכל</w:t>
                        </w:r>
                      </w:p>
                      <w:p w:rsidR="00F75FB3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דבר, למעט סכום הפדיון שיהיה מחצית סכום הפדיון של האגרת כולה, ללא כל תלות</w:t>
                        </w:r>
                      </w:p>
                      <w:p w:rsidR="00F75FB3" w:rsidRPr="001D0EA6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בחציה השני.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F75FB3" w:rsidRPr="001D0EA6" w:rsidRDefault="00F75F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הערר הנקוב</w:t>
                        </w:r>
                      </w:p>
                    </w:tc>
                  </w:tr>
                  <w:tr w:rsidR="00F75FB3" w:rsidRPr="001D0EA6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F75FB3" w:rsidRDefault="00F75F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לגבי פדיון אגרות החוב יחולו הוראות אלה:</w:t>
                        </w:r>
                      </w:p>
                      <w:p w:rsidR="00F75FB3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הממשלה תפדה את אגרות החוב תוך תקופה של עשרים וחמש שנה</w:t>
                        </w:r>
                      </w:p>
                      <w:p w:rsidR="00F75FB3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תקופת המילווה) מהיום שקבע שר האוצר בהודעה שתפורסם ברשומות</w:t>
                        </w:r>
                      </w:p>
                      <w:p w:rsidR="00F75FB3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כיום הוצאת המילווה;</w:t>
                        </w:r>
                      </w:p>
                      <w:p w:rsidR="00F75FB3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שנה מתקופת המילווה ייפדו אגרות חוב במספר שייקבע בתקנות;</w:t>
                        </w:r>
                      </w:p>
                      <w:p w:rsidR="00F75FB3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הפדיון יהיה בהגרלות :</w:t>
                        </w:r>
                      </w:p>
                      <w:p w:rsidR="00F75FB3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אגרות החוב שעלו בגורל, ייפדו בערכן הנקוב ובתוספת, בכל שנת הגרלה,</w:t>
                        </w:r>
                      </w:p>
                      <w:p w:rsidR="00F75FB3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סכום (להלן - סכום הפרסים) שלא יפחת משלושה אחוזים מהסכום הכולל</w:t>
                        </w:r>
                      </w:p>
                      <w:p w:rsidR="00F75FB3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אגרות החוב;</w:t>
                        </w:r>
                      </w:p>
                      <w:p w:rsidR="00F75FB3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הגרלה תהיה בפומבי ותכלול את כל אגרות החוב שעדיין לא עלו</w:t>
                        </w:r>
                      </w:p>
                      <w:p w:rsidR="00F75FB3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בגורל;</w:t>
                        </w:r>
                      </w:p>
                      <w:p w:rsidR="00F75FB3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מועדי ההגרלות, סדריהן וחלוקת סכום הפרסים בין אגרות החוב שייפדו</w:t>
                        </w:r>
                      </w:p>
                      <w:p w:rsidR="00F75FB3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שנה, ייקבעו בתקנות; הודעה על השעה ועל המקום של כל הגרלה תפורסם,</w:t>
                        </w:r>
                      </w:p>
                      <w:p w:rsidR="00F75FB3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שבוע ימים קודם לכן, ברשומות;</w:t>
                        </w:r>
                      </w:p>
                      <w:p w:rsidR="00F75FB3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יתרת אגרות החוב שלא נפדו בהגרלה כאמור, ייפדו ב-30 לחודש הבא</w:t>
                        </w:r>
                      </w:p>
                      <w:p w:rsidR="00F75FB3" w:rsidRPr="001D0EA6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 לאחר תום תקופת המילווה בערכן הנקוב.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F75FB3" w:rsidRDefault="00F75F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פריון אגרות</w:t>
                        </w:r>
                      </w:p>
                      <w:p w:rsidR="00F75FB3" w:rsidRPr="001D0EA6" w:rsidRDefault="00F75F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החוב</w:t>
                        </w:r>
                      </w:p>
                    </w:tc>
                  </w:tr>
                  <w:tr w:rsidR="00F75FB3" w:rsidRPr="001D0EA6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F75FB3" w:rsidRDefault="00F75F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כל עוד לא הוציאה הממשלה את כל אגרות החוב שהיא רשאית להוציאן, רואים</w:t>
                        </w:r>
                      </w:p>
                      <w:p w:rsidR="00F75FB3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לצורר כל הגרלה וזכיה בסכומי הפרסים ולצורך פדיון אגרות החוב הנפדות בהגרלה לפי</w:t>
                        </w:r>
                      </w:p>
                      <w:p w:rsidR="00F75FB3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כאילו הוציאה הממשלה ומחזיקה כמוכ"ז את שארית אגרות החוב שלא הוציאה עד</w:t>
                        </w:r>
                      </w:p>
                      <w:p w:rsidR="00F75FB3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ההגרלה.</w:t>
                        </w:r>
                      </w:p>
                      <w:p w:rsidR="00F75FB3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יגרעו מזכות הממשלה להוציא אגרת חוב שעדיין לא</w:t>
                        </w:r>
                      </w:p>
                      <w:p w:rsidR="00F75FB3" w:rsidRPr="001D0EA6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כל עוד לא עלתה בגורל.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F75FB3" w:rsidRDefault="00F75F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הממשלה</w:t>
                        </w:r>
                      </w:p>
                      <w:p w:rsidR="00F75FB3" w:rsidRDefault="00F75F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באגרות שלא</w:t>
                        </w:r>
                      </w:p>
                      <w:p w:rsidR="00F75FB3" w:rsidRPr="001D0EA6" w:rsidRDefault="00F75F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</w:t>
                        </w:r>
                      </w:p>
                    </w:tc>
                  </w:tr>
                  <w:tr w:rsidR="00F75FB3" w:rsidRPr="001D0EA6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F75FB3" w:rsidRPr="001D0EA6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אגרות החוב לא ישאו ריבית.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F75FB3" w:rsidRPr="001D0EA6" w:rsidRDefault="00F75F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</w:tr>
                  <w:tr w:rsidR="00F75FB3" w:rsidRPr="001D0EA6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F75FB3" w:rsidRDefault="00F75F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אגרת חוב העומדת לפדיון תיפרע למציגה עם מסירתה במקום ששר האוצר</w:t>
                        </w:r>
                      </w:p>
                      <w:p w:rsidR="00F75FB3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יורה בהודעה שתפורסם ברשומות- ותיבטל עם הפרעון.</w:t>
                        </w:r>
                      </w:p>
                      <w:p w:rsidR="00F75FB3" w:rsidRPr="001D0EA6" w:rsidRDefault="00F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אגרת חוב שעלתה בגורל תיפרע לאחר שלושה שבועות מיום ההגרלה.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F75FB3" w:rsidRDefault="00F75F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פרעון האגרות</w:t>
                        </w:r>
                      </w:p>
                      <w:p w:rsidR="00F75FB3" w:rsidRPr="001D0EA6" w:rsidRDefault="00F75F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וביטול :</w:t>
                        </w:r>
                      </w:p>
                    </w:tc>
                  </w:tr>
                </w:tbl>
                <w:p w:rsidR="00F75FB3" w:rsidRDefault="00F75FB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366" o:spid="_x0000_s1028" type="#_x0000_t202" style="position:absolute;left:0;text-align:left;margin-left:162.2pt;margin-top:76pt;width:235.6pt;height:19.6pt;z-index:2;mso-position-horizontal-relative:page;mso-position-vertical-relative:page" stroked="f">
            <v:textbox style="mso-next-textbox:#_x0000_s12366" inset="0,0,0,0">
              <w:txbxContent>
                <w:p w:rsidR="00F75FB3" w:rsidRPr="001D0EA6" w:rsidRDefault="00F75FB3">
                  <w:pPr>
                    <w:pStyle w:val="OCRStyle1"/>
                    <w:ind w:left="36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המילווה העממי, תשי"ד-1954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67" o:spid="_x0000_s1029" type="#_x0000_t202" style="position:absolute;left:0;text-align:left;margin-left:501.95pt;margin-top:59.95pt;width:68.5pt;height:17.8pt;z-index:1;mso-position-horizontal-relative:page;mso-position-vertical-relative:page" stroked="f">
            <v:textbox style="mso-next-textbox:#_x0000_s12367" inset="0,0,0,0">
              <w:txbxContent>
                <w:p w:rsidR="00F75FB3" w:rsidRDefault="00F75FB3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מספר 10</w:t>
                  </w:r>
                </w:p>
              </w:txbxContent>
            </v:textbox>
            <w10:wrap anchorx="page" anchory="page"/>
          </v:shape>
        </w:pict>
      </w:r>
    </w:p>
    <w:p w:rsidR="00F75FB3" w:rsidRDefault="00F75FB3">
      <w:pPr>
        <w:rPr>
          <w:rtl/>
        </w:rPr>
      </w:pPr>
      <w:r>
        <w:rPr>
          <w:rtl/>
        </w:rPr>
        <w:br w:type="page"/>
      </w:r>
    </w:p>
    <w:p w:rsidR="00F75FB3" w:rsidRDefault="00000000">
      <w:pPr>
        <w:rPr>
          <w:rtl/>
        </w:rPr>
      </w:pPr>
      <w:r>
        <w:pict>
          <v:shape id="_x0000_s12368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2368" inset="0,0,0,0">
              <w:txbxContent>
                <w:p w:rsidR="00F75FB3" w:rsidRDefault="00F75FB3">
                  <w:r>
                    <w:rPr>
                      <w:rtl/>
                    </w:rPr>
                    <w:t>119                                          ספר החוקים 154                  ט' בסיוון התשי"ד 10.06.1954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69" o:spid="_x0000_s1031" type="#_x0000_t202" style="position:absolute;left:0;text-align:left;margin-left:91.45pt;margin-top:475.15pt;width:61pt;height:13.25pt;z-index:11;mso-position-horizontal-relative:page;mso-position-vertical-relative:page" stroked="f">
            <v:textbox style="mso-next-textbox:#_x0000_s12369" inset="0,0,0,0">
              <w:txbxContent>
                <w:p w:rsidR="00F75FB3" w:rsidRDefault="00F75FB3">
                  <w:pPr>
                    <w:pStyle w:val="OCRStyle2"/>
                    <w:ind w:left="130"/>
                  </w:pPr>
                  <w:r>
                    <w:rPr>
                      <w:rtl/>
                    </w:rPr>
                    <w:t>מספר 41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70" o:spid="_x0000_s1032" type="#_x0000_t202" style="position:absolute;left:0;text-align:left;margin-left:379.55pt;margin-top:401.05pt;width:194.25pt;height:25.35pt;z-index:10;mso-position-horizontal-relative:page;mso-position-vertical-relative:page" stroked="f">
            <v:textbox style="mso-next-textbox:#_x0000_s12370" inset="0,0,0,0">
              <w:txbxContent>
                <w:p w:rsidR="00F75FB3" w:rsidRPr="00F75FB3" w:rsidRDefault="00F75FB3">
                  <w:pPr>
                    <w:pStyle w:val="OCRStyle2"/>
                    <w:ind w:left="70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1947, תוס' 1 מס' 1568, עמ'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71" o:spid="_x0000_s1033" type="#_x0000_t202" style="position:absolute;left:0;text-align:left;margin-left:438.55pt;margin-top:364.45pt;width:122.95pt;height:31.9pt;z-index:9;mso-position-horizontal-relative:page;mso-position-vertical-relative:page" stroked="f">
            <v:textbox style="mso-next-textbox:#_x0000_s12371" inset="0,0,0,0">
              <w:txbxContent>
                <w:p w:rsidR="00F75FB3" w:rsidRDefault="00F75FB3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יצחק בן - צבי</w:t>
                  </w:r>
                </w:p>
                <w:p w:rsidR="00F75FB3" w:rsidRDefault="00F75FB3">
                  <w:pPr>
                    <w:pStyle w:val="OCRStyle2"/>
                    <w:ind w:left="6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72" o:spid="_x0000_s1034" type="#_x0000_t202" style="position:absolute;left:0;text-align:left;margin-left:174.8pt;margin-top:324.05pt;width:94.85pt;height:34.85pt;z-index:8;mso-position-horizontal-relative:page;mso-position-vertical-relative:page" stroked="f">
            <v:textbox style="mso-next-textbox:#_x0000_s12372" inset="0,0,0,0">
              <w:txbxContent>
                <w:p w:rsidR="00F75FB3" w:rsidRDefault="00F75FB3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75FB3" w:rsidRDefault="00F75FB3">
                  <w:pPr>
                    <w:pStyle w:val="OCRStyle2"/>
                    <w:ind w:left="44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73" o:spid="_x0000_s1035" type="#_x0000_t202" style="position:absolute;left:0;text-align:left;margin-left:332.6pt;margin-top:323.05pt;width:85.35pt;height:35.85pt;z-index:7;mso-position-horizontal-relative:page;mso-position-vertical-relative:page" stroked="f">
            <v:textbox style="mso-next-textbox:#_x0000_s12373" inset="0,0,0,0">
              <w:txbxContent>
                <w:p w:rsidR="00F75FB3" w:rsidRDefault="00F75FB3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F75FB3" w:rsidRDefault="00F75FB3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74" o:spid="_x0000_s1036" type="#_x0000_t202" style="position:absolute;left:0;text-align:left;margin-left:84.75pt;margin-top:69.8pt;width:482.35pt;height:233.65pt;z-index:6;mso-position-horizontal-relative:page;mso-position-vertical-relative:page" stroked="f">
            <v:textbox style="mso-next-textbox:#_x0000_s1237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9"/>
                    <w:gridCol w:w="7521"/>
                  </w:tblGrid>
                  <w:tr w:rsidR="00F75FB3" w:rsidRPr="00F75FB3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F75FB3" w:rsidRDefault="00F75F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אגרות</w:t>
                        </w:r>
                      </w:p>
                      <w:p w:rsidR="00F75FB3" w:rsidRPr="00F75FB3" w:rsidRDefault="00F75F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F75FB3" w:rsidRPr="00F75FB3" w:rsidRDefault="00F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  אגרות החוב יהיו ניתנות להעברה בדרך מסירה.</w:t>
                        </w:r>
                      </w:p>
                    </w:tc>
                  </w:tr>
                  <w:tr w:rsidR="00F75FB3" w:rsidRPr="00F75FB3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F75FB3" w:rsidRDefault="00F75F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</w:t>
                        </w:r>
                      </w:p>
                      <w:p w:rsidR="00F75FB3" w:rsidRPr="00F75FB3" w:rsidRDefault="00F75F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הכנסה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F75FB3" w:rsidRDefault="00F75F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סכומי הפרסים שישולמו לפי חוק זה לא ייחשבו כהכנסה לצרכי פקודת מם הכנסה'</w:t>
                        </w:r>
                      </w:p>
                      <w:p w:rsidR="00F75FB3" w:rsidRPr="00F75FB3" w:rsidRDefault="00F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1947 1.</w:t>
                        </w:r>
                      </w:p>
                    </w:tc>
                  </w:tr>
                  <w:tr w:rsidR="00F75FB3" w:rsidRPr="00F75FB3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F75FB3" w:rsidRDefault="00F75F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</w:t>
                        </w:r>
                      </w:p>
                      <w:p w:rsidR="00F75FB3" w:rsidRPr="00F75FB3" w:rsidRDefault="00F75F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בולים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F75FB3" w:rsidRPr="00F75FB3" w:rsidRDefault="00F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אגרות החוב פטורות ממס בולים.</w:t>
                        </w:r>
                      </w:p>
                    </w:tc>
                  </w:tr>
                  <w:tr w:rsidR="00F75FB3" w:rsidRPr="00F75FB3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F75FB3" w:rsidRPr="00F75FB3" w:rsidRDefault="00F75F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ובטחון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F75FB3" w:rsidRDefault="00F75F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הסכומים המשתלמים לפי אגרות החוב וכל ההוצאות הכרוכות בביצוע חוק זה'</w:t>
                        </w:r>
                      </w:p>
                      <w:p w:rsidR="00F75FB3" w:rsidRPr="00F75FB3" w:rsidRDefault="00F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על ידי שר האוצר מתוך הכנסותיה הכלליות ומתוך רכושה של המדינה.</w:t>
                        </w:r>
                      </w:p>
                    </w:tc>
                  </w:tr>
                  <w:tr w:rsidR="00F75FB3" w:rsidRPr="00F75FB3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F75FB3" w:rsidRDefault="00F75F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נוסח אגרות</w:t>
                        </w:r>
                      </w:p>
                      <w:p w:rsidR="00F75FB3" w:rsidRPr="00F75FB3" w:rsidRDefault="00F75F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החוב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F75FB3" w:rsidRDefault="00F75F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אגרות החוב ייערכו בנוסח שיקבע שר האוצר בתקנות.</w:t>
                        </w:r>
                      </w:p>
                      <w:p w:rsidR="00F75FB3" w:rsidRPr="00F75FB3" w:rsidRDefault="00F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אגרת חוב תישא את חותם חתימותיהם של שר האוצר ושל החשב הכללי.</w:t>
                        </w:r>
                      </w:p>
                    </w:tc>
                  </w:tr>
                  <w:tr w:rsidR="00F75FB3" w:rsidRPr="00F75FB3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F75FB3" w:rsidRPr="00F75FB3" w:rsidRDefault="00F75F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F75FB3" w:rsidRDefault="00F75F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 .        שר האוצר ממונה על ביצוע חוק זה והוא רשאי להתקין תקנות בכל ענין הנוגע</w:t>
                        </w:r>
                      </w:p>
                      <w:p w:rsidR="00F75FB3" w:rsidRDefault="00F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ובכלל זה - מינוי מועצה לפיקוח על ההגרלות וקביעת תפקידיה; אולם תקנות</w:t>
                        </w:r>
                      </w:p>
                      <w:p w:rsidR="00F75FB3" w:rsidRPr="00F75FB3" w:rsidRDefault="00F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 יותקנו לפני הוצאת אגרות החוב.</w:t>
                        </w:r>
                      </w:p>
                    </w:tc>
                  </w:tr>
                </w:tbl>
                <w:p w:rsidR="00F75FB3" w:rsidRDefault="00F75FB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D0EA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6037398-52BB-4816-9920-B1E112E2B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D0EA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75FB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2008-04-06T18:44:00Z</dcterms:created>
  <dcterms:modified xsi:type="dcterms:W3CDTF">2008-04-06T18:44:00Z</dcterms:modified>
</cp:coreProperties>
</file>