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D6754" w:rsidRDefault="004D6754">
      <w:pPr>
        <w:rPr>
          <w:rtl/>
        </w:rPr>
      </w:pPr>
    </w:p>
    <w:p w:rsidR="004D675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2592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2592" inset="0,0,0,0">
              <w:txbxContent>
                <w:p w:rsidR="004D6754" w:rsidRDefault="004D6754">
                  <w:r>
                    <w:rPr>
                      <w:rtl/>
                    </w:rPr>
                    <w:t>194                                          ספר החוקים 774                    י"ב באב התשל"ה 20.07.1975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12593" o:spid="_x0000_s1026" type="#_x0000_t202" style="position:absolute;left:0;text-align:left;margin-left:79.5pt;margin-top:291.7pt;width:405.7pt;height:55.85pt;z-index:6;mso-position-horizontal-relative:page;mso-position-vertical-relative:page" stroked="f">
            <v:textbox style="mso-next-textbox:#_x0000_s12593" inset="0,0,0,0">
              <w:txbxContent>
                <w:tbl>
                  <w:tblPr>
                    <w:tblW w:w="441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75"/>
                  </w:tblGrid>
                  <w:tr w:rsidR="004D6754" w:rsidRPr="004D6754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4D6754" w:rsidRDefault="004D67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* נתקבל בכנסה ביום ב' באב תשל"ה (10 ביולי 1975); הצעת החוק ודברי הסבר פורסמו בה"ח 1187, תשל"ה,</w:t>
                        </w:r>
                      </w:p>
                      <w:p w:rsidR="004D6754" w:rsidRDefault="004D675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עמ' 315.</w:t>
                        </w:r>
                      </w:p>
                      <w:p w:rsidR="004D6754" w:rsidRDefault="004D675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 ס"ח תשל"ה, עמ' 110.</w:t>
                        </w:r>
                      </w:p>
                      <w:p w:rsidR="004D6754" w:rsidRPr="004D6754" w:rsidRDefault="004D675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 ס"ח תשל"ה, עמ' .114</w:t>
                        </w:r>
                      </w:p>
                    </w:tc>
                  </w:tr>
                </w:tbl>
                <w:p w:rsidR="004D6754" w:rsidRDefault="004D675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2594" o:spid="_x0000_s1027" type="#_x0000_t202" style="position:absolute;left:0;text-align:left;margin-left:81.5pt;margin-top:212.9pt;width:132.65pt;height:46.15pt;z-index:5;mso-position-horizontal-relative:page;mso-position-vertical-relative:page" stroked="f">
            <v:textbox style="mso-next-textbox:#_x0000_s12594" inset="0,0,0,0">
              <w:txbxContent>
                <w:tbl>
                  <w:tblPr>
                    <w:tblW w:w="418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2412"/>
                  </w:tblGrid>
                  <w:tr w:rsidR="004D6754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4D6754" w:rsidRDefault="004D67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יהושע רבינוביץ</w:t>
                        </w:r>
                      </w:p>
                      <w:p w:rsidR="004D6754" w:rsidRDefault="004D67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האוצר</w:t>
                        </w:r>
                      </w:p>
                    </w:tc>
                  </w:tr>
                </w:tbl>
                <w:p w:rsidR="004D6754" w:rsidRDefault="004D675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2595" o:spid="_x0000_s1028" type="#_x0000_t202" style="position:absolute;left:0;text-align:left;margin-left:236.3pt;margin-top:212.9pt;width:94.05pt;height:44.35pt;z-index:4;mso-position-horizontal-relative:page;mso-position-vertical-relative:page" stroked="f">
            <v:textbox style="mso-next-textbox:#_x0000_s12595" inset="0,0,0,0">
              <w:txbxContent>
                <w:tbl>
                  <w:tblPr>
                    <w:tblW w:w="404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710"/>
                  </w:tblGrid>
                  <w:tr w:rsidR="004D6754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4D6754" w:rsidRDefault="004D67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יצחק רבין</w:t>
                        </w:r>
                      </w:p>
                      <w:p w:rsidR="004D6754" w:rsidRDefault="004D67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הממשלה</w:t>
                        </w:r>
                      </w:p>
                    </w:tc>
                  </w:tr>
                </w:tbl>
                <w:p w:rsidR="004D6754" w:rsidRDefault="004D675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2596" o:spid="_x0000_s1029" type="#_x0000_t202" style="position:absolute;left:0;text-align:left;margin-left:368pt;margin-top:241.8pt;width:111.45pt;height:46.15pt;z-index:3;mso-position-horizontal-relative:page;mso-position-vertical-relative:page" stroked="f">
            <v:textbox style="mso-next-textbox:#_x0000_s12596" inset="0,0,0,0">
              <w:txbxContent>
                <w:tbl>
                  <w:tblPr>
                    <w:tblW w:w="412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2027"/>
                  </w:tblGrid>
                  <w:tr w:rsidR="004D6754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4D6754" w:rsidRDefault="004D67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אפרים קציר</w:t>
                        </w:r>
                      </w:p>
                      <w:p w:rsidR="004D6754" w:rsidRDefault="004D67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נשיא המדינה</w:t>
                        </w:r>
                      </w:p>
                    </w:tc>
                  </w:tr>
                </w:tbl>
                <w:p w:rsidR="004D6754" w:rsidRDefault="004D675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2597" o:spid="_x0000_s1030" type="#_x0000_t202" style="position:absolute;left:0;text-align:left;margin-left:74.75pt;margin-top:87.95pt;width:498.95pt;height:118.2pt;z-index:2;mso-position-horizontal-relative:page;mso-position-vertical-relative:page" stroked="f">
            <v:textbox style="mso-next-textbox:#_x0000_s12597" inset="0,0,0,0">
              <w:txbxContent>
                <w:tbl>
                  <w:tblPr>
                    <w:tblW w:w="444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741"/>
                    <w:gridCol w:w="1332"/>
                  </w:tblGrid>
                  <w:tr w:rsidR="004D6754" w:rsidRPr="004D6754">
                    <w:trPr>
                      <w:jc w:val="right"/>
                    </w:trPr>
                    <w:tc>
                      <w:tcPr>
                        <w:tcW w:w="4266" w:type="pct"/>
                      </w:tcPr>
                      <w:p w:rsidR="004D6754" w:rsidRDefault="004D675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1, חוק מילווה מלחמה ומימון רכש, תשל"ה-1975  1- בטל: סכום ששולם על</w:t>
                        </w:r>
                      </w:p>
                      <w:p w:rsidR="004D6754" w:rsidRDefault="004D67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חשבון מילווה על פי החוק האמור יראו כאילו שולם על חשבון מס הכנסה לשנת</w:t>
                        </w:r>
                      </w:p>
                      <w:p w:rsidR="004D6754" w:rsidRPr="004D6754" w:rsidRDefault="004D67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 1975.</w:t>
                        </w:r>
                      </w:p>
                    </w:tc>
                    <w:tc>
                      <w:tcPr>
                        <w:tcW w:w="734" w:type="pct"/>
                      </w:tcPr>
                      <w:p w:rsidR="004D6754" w:rsidRDefault="004D675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 חוק</w:t>
                        </w:r>
                      </w:p>
                      <w:p w:rsidR="004D6754" w:rsidRDefault="004D675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מילווה מלחמה</w:t>
                        </w:r>
                      </w:p>
                      <w:p w:rsidR="004D6754" w:rsidRPr="004D6754" w:rsidRDefault="004D675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ומימון רכש</w:t>
                        </w:r>
                      </w:p>
                    </w:tc>
                  </w:tr>
                  <w:tr w:rsidR="004D6754" w:rsidRPr="004D6754">
                    <w:trPr>
                      <w:jc w:val="right"/>
                    </w:trPr>
                    <w:tc>
                      <w:tcPr>
                        <w:tcW w:w="4266" w:type="pct"/>
                      </w:tcPr>
                      <w:p w:rsidR="004D6754" w:rsidRDefault="004D675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חוק מילווה מלחמה על שבח מקרקעין, תשל"ה-1975  2- בטל מיום כ"ב</w:t>
                        </w:r>
                      </w:p>
                      <w:p w:rsidR="004D6754" w:rsidRPr="004D6754" w:rsidRDefault="004D67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בתמוז תשל"ה (1 ביולי 1975).</w:t>
                        </w:r>
                      </w:p>
                    </w:tc>
                    <w:tc>
                      <w:tcPr>
                        <w:tcW w:w="734" w:type="pct"/>
                      </w:tcPr>
                      <w:p w:rsidR="004D6754" w:rsidRDefault="004D675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 חוק</w:t>
                        </w:r>
                      </w:p>
                      <w:p w:rsidR="004D6754" w:rsidRDefault="004D675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מילווה מלחמה</w:t>
                        </w:r>
                      </w:p>
                      <w:p w:rsidR="004D6754" w:rsidRDefault="004D675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על שבח</w:t>
                        </w:r>
                      </w:p>
                      <w:p w:rsidR="004D6754" w:rsidRPr="004D6754" w:rsidRDefault="004D675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מקרקעין</w:t>
                        </w:r>
                      </w:p>
                    </w:tc>
                  </w:tr>
                </w:tbl>
                <w:p w:rsidR="004D6754" w:rsidRDefault="004D675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2598" o:spid="_x0000_s1031" type="#_x0000_t202" style="position:absolute;left:0;text-align:left;margin-left:134.35pt;margin-top:50.5pt;width:307.5pt;height:30.7pt;z-index:1;mso-position-horizontal-relative:page;mso-position-vertical-relative:page" stroked="f">
            <v:textbox style="mso-next-textbox:#_x0000_s12598" inset="0,0,0,0">
              <w:txbxContent>
                <w:tbl>
                  <w:tblPr>
                    <w:tblW w:w="438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591"/>
                  </w:tblGrid>
                  <w:tr w:rsidR="004D6754" w:rsidRPr="004D6754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4D6754" w:rsidRPr="004D6754" w:rsidRDefault="004D6754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חוק ביטול מילווה מלחמה, תשל"ה-1975*</w:t>
                        </w:r>
                      </w:p>
                    </w:tc>
                  </w:tr>
                </w:tbl>
                <w:p w:rsidR="004D6754" w:rsidRDefault="004D675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4D675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D675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C98895C-615D-42C8-B752-68697DF01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4D6754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2008-04-06T22:26:00Z</dcterms:created>
  <dcterms:modified xsi:type="dcterms:W3CDTF">2008-04-06T22:26:00Z</dcterms:modified>
</cp:coreProperties>
</file>