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940FF" w:rsidRDefault="002940FF">
      <w:pPr>
        <w:rPr>
          <w:rtl/>
        </w:rPr>
      </w:pPr>
    </w:p>
    <w:p w:rsidR="002940F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7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878" inset="0,0,0,0">
              <w:txbxContent>
                <w:p w:rsidR="002940FF" w:rsidRDefault="002940FF">
                  <w:r>
                    <w:rPr>
                      <w:rtl/>
                    </w:rPr>
                    <w:t>62                                           ספר החוקים 682                י"ג באדר א' התשל"ג 15.02.1973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79" o:spid="_x0000_s1026" type="#_x0000_t202" style="position:absolute;left:0;text-align:left;margin-left:86.15pt;margin-top:381.6pt;width:398.55pt;height:29.3pt;z-index:6;mso-position-horizontal-relative:page;mso-position-vertical-relative:page" stroked="f">
            <v:textbox style="mso-next-textbox:#_x0000_s12879" inset="0,0,0,0">
              <w:txbxContent>
                <w:p w:rsidR="002940FF" w:rsidRDefault="002940FF">
                  <w:pPr>
                    <w:pStyle w:val="OCRStyle1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ביוס ג' נאדר אי תשל"ג (5 בפברואר 1973); הגעת החוק ודברי הסבר פורסמו בה"ח 1038 תשל"ג,</w:t>
                  </w:r>
                </w:p>
                <w:p w:rsidR="002940FF" w:rsidRPr="002940FF" w:rsidRDefault="002940FF">
                  <w:pPr>
                    <w:pStyle w:val="OCRStyle1"/>
                    <w:ind w:left="7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0" o:spid="_x0000_s1027" type="#_x0000_t202" style="position:absolute;left:0;text-align:left;margin-left:85.2pt;margin-top:305pt;width:117.2pt;height:49.9pt;z-index:5;mso-position-horizontal-relative:page;mso-position-vertical-relative:page" stroked="f">
            <v:textbox style="mso-next-textbox:#_x0000_s12880" inset="0,0,0,0">
              <w:txbxContent>
                <w:p w:rsidR="002940FF" w:rsidRDefault="002940FF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2940FF" w:rsidRDefault="002940FF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2940FF" w:rsidRDefault="002940F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1" o:spid="_x0000_s1028" type="#_x0000_t202" style="position:absolute;left:0;text-align:left;margin-left:346.95pt;margin-top:345.35pt;width:131.65pt;height:34.45pt;z-index:4;mso-position-horizontal-relative:page;mso-position-vertical-relative:page" stroked="f">
            <v:textbox style="mso-next-textbox:#_x0000_s12881" inset="0,0,0,0">
              <w:txbxContent>
                <w:p w:rsidR="002940FF" w:rsidRDefault="002940F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940FF" w:rsidRDefault="002940FF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2" o:spid="_x0000_s1029" type="#_x0000_t202" style="position:absolute;left:0;text-align:left;margin-left:224.75pt;margin-top:300.6pt;width:99pt;height:42.15pt;z-index:3;mso-position-horizontal-relative:page;mso-position-vertical-relative:page" stroked="f">
            <v:textbox style="mso-next-textbox:#_x0000_s12882" inset="0,0,0,0">
              <w:txbxContent>
                <w:p w:rsidR="002940FF" w:rsidRDefault="002940F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940FF" w:rsidRDefault="002940FF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83" o:spid="_x0000_s1030" type="#_x0000_t202" style="position:absolute;left:0;text-align:left;margin-left:84.4pt;margin-top:157.85pt;width:472.65pt;height:136.8pt;z-index:2;mso-position-horizontal-relative:page;mso-position-vertical-relative:page" stroked="f">
            <v:textbox style="mso-next-textbox:#_x0000_s1288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533"/>
                  </w:tblGrid>
                  <w:tr w:rsidR="002940FF" w:rsidRPr="002940FF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2940FF" w:rsidRDefault="002940F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מי שהשכיר למגורים דירה או חלק ממנה, בתקופה שבין יום י"ב בשבט תשל"ג (15</w:t>
                        </w:r>
                      </w:p>
                      <w:p w:rsidR="002940FF" w:rsidRDefault="002940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1973) לבין יום ל' בסיון תשל"ג (30 ביוני 0973 ובתנאים המפורטים להלן, יהיה</w:t>
                        </w:r>
                      </w:p>
                      <w:p w:rsidR="002940FF" w:rsidRDefault="002940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ממס הכנסה על הכנסתו מהשכרת הדירה, מיום ההשכרה ועד תום שנת המס 1975;</w:t>
                        </w:r>
                      </w:p>
                      <w:p w:rsidR="002940FF" w:rsidRDefault="002940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ואלה התנאים:</w:t>
                        </w:r>
                      </w:p>
                      <w:p w:rsidR="002940FF" w:rsidRDefault="002940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הדירה לא היתה מושכרת אחרי יום כ"ה בכסלו תשל"ג (1 בדצמבר</w:t>
                        </w:r>
                      </w:p>
                      <w:p w:rsidR="002940FF" w:rsidRDefault="002940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1972);</w:t>
                        </w:r>
                      </w:p>
                      <w:p w:rsidR="002940FF" w:rsidRDefault="002940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ההשכרה היא לתקופה של שנה לפחות;</w:t>
                        </w:r>
                      </w:p>
                      <w:p w:rsidR="002940FF" w:rsidRPr="002940FF" w:rsidRDefault="002940F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שכר הדירה אינו עולה על 550 לירות לחודש.</w:t>
                        </w:r>
                      </w:p>
                    </w:tc>
                    <w:tc>
                      <w:tcPr>
                        <w:tcW w:w="892" w:type="pct"/>
                      </w:tcPr>
                      <w:p w:rsidR="002940FF" w:rsidRPr="002940FF" w:rsidRDefault="002940F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</w:tbl>
                <w:p w:rsidR="002940FF" w:rsidRDefault="002940F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84" o:spid="_x0000_s1031" type="#_x0000_t202" style="position:absolute;left:0;text-align:left;margin-left:110.15pt;margin-top:113.1pt;width:370.25pt;height:40.4pt;z-index:1;mso-position-horizontal-relative:page;mso-position-vertical-relative:page" stroked="f">
            <v:textbox style="mso-next-textbox:#_x0000_s12884" inset="0,0,0,0">
              <w:txbxContent>
                <w:p w:rsidR="002940FF" w:rsidRDefault="002940FF">
                  <w:pPr>
                    <w:pStyle w:val="OCRStyle1"/>
                    <w:ind w:left="46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(פטור ממס על דמי שכירות של דירות מגורים)</w:t>
                  </w:r>
                </w:p>
                <w:p w:rsidR="002940FF" w:rsidRPr="002940FF" w:rsidRDefault="002940FF">
                  <w:pPr>
                    <w:pStyle w:val="OCRStyle1"/>
                    <w:ind w:left="2250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(הוראת שעה),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940F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10E5791-E0D7-452B-9BBD-B289FE17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940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2008-04-06T21:59:00Z</dcterms:created>
  <dcterms:modified xsi:type="dcterms:W3CDTF">2008-04-06T21:59:00Z</dcterms:modified>
</cp:coreProperties>
</file>