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E462B" w:rsidRDefault="00EE462B">
      <w:pPr>
        <w:rPr>
          <w:rtl/>
        </w:rPr>
      </w:pPr>
    </w:p>
    <w:p w:rsidR="00EE462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3457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13457" inset="0,0,0,0">
              <w:txbxContent>
                <w:p w:rsidR="001B2A02" w:rsidRDefault="001B2A02">
                  <w:r>
                    <w:rPr>
                      <w:rtl/>
                    </w:rPr>
                    <w:t>102                                          ספר החוקים 505                     א' באב התשכ"ז 07.08.1967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13458" o:spid="_x0000_s1026" type="#_x0000_t202" style="position:absolute;left:0;text-align:left;margin-left:93.65pt;margin-top:724.85pt;width:158.4pt;height:24.95pt;z-index:4;mso-wrap-style:none;mso-position-horizontal-relative:page;mso-position-vertical-relative:page" stroked="f">
            <v:textbox style="mso-next-textbox:#_x0000_s13458" inset="0,0,0,0">
              <w:txbxContent>
                <w:p w:rsidR="001B2A02" w:rsidRDefault="001B2A0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3459" o:spid="_x0000_s1027" type="#_x0000_t202" style="position:absolute;left:0;text-align:left;margin-left:90.3pt;margin-top:643.85pt;width:383.9pt;height:56.85pt;z-index:3;mso-wrap-style:none;mso-position-horizontal-relative:page;mso-position-vertical-relative:page" stroked="f">
            <v:textbox style="mso-next-textbox:#_x0000_s13459" inset="0,0,0,0">
              <w:txbxContent>
                <w:p w:rsidR="001B2A02" w:rsidRDefault="001B2A02">
                  <w:pPr>
                    <w:pStyle w:val="OCRStyle1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כ"ה בתמוז תשכ"ז (2 באוגוסט 1967); הצעת החוק ודברי הסבר פורסמו בה"ח 740, תשכ"ז,</w:t>
                  </w:r>
                </w:p>
                <w:p w:rsidR="001B2A02" w:rsidRDefault="001B2A02">
                  <w:pPr>
                    <w:pStyle w:val="OCRStyle1"/>
                    <w:ind w:left="490"/>
                    <w:rPr>
                      <w:rtl/>
                    </w:rPr>
                  </w:pPr>
                  <w:r>
                    <w:rPr>
                      <w:rtl/>
                    </w:rPr>
                    <w:t>עמ' 198.</w:t>
                  </w:r>
                </w:p>
                <w:p w:rsidR="001B2A02" w:rsidRDefault="001B2A02">
                  <w:pPr>
                    <w:pStyle w:val="OCRStyle1"/>
                    <w:ind w:left="382"/>
                    <w:rPr>
                      <w:rtl/>
                    </w:rPr>
                  </w:pPr>
                  <w:r>
                    <w:rPr>
                      <w:rtl/>
                    </w:rPr>
                    <w:t>1 דיני מדינת ישראל, נוסח חדש 6, עמ' 120.</w:t>
                  </w:r>
                </w:p>
                <w:p w:rsidR="001B2A02" w:rsidRPr="00EE462B" w:rsidRDefault="001B2A02">
                  <w:pPr>
                    <w:pStyle w:val="OCRStyle1"/>
                    <w:ind w:left="382"/>
                  </w:pPr>
                  <w:r>
                    <w:rPr>
                      <w:rtl/>
                    </w:rPr>
                    <w:t>2 ס"ח 502, תשכ"ז, עמ' .82</w:t>
                  </w:r>
                </w:p>
              </w:txbxContent>
            </v:textbox>
            <w10:wrap anchorx="page" anchory="page"/>
          </v:shape>
        </w:pict>
      </w:r>
      <w:r>
        <w:pict>
          <v:shape id="_x0000_s13460" o:spid="_x0000_s1028" type="#_x0000_t202" style="position:absolute;left:0;text-align:left;margin-left:88.5pt;margin-top:117.95pt;width:457.2pt;height:507.85pt;z-index:2;mso-wrap-style:none;mso-position-horizontal-relative:page;mso-position-vertical-relative:page" stroked="f">
            <v:textbox style="mso-next-textbox:#_x0000_s13460" inset="0,0,0,0">
              <w:txbxContent>
                <w:tbl>
                  <w:tblPr>
                    <w:tblW w:w="487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24"/>
                    <w:gridCol w:w="1289"/>
                  </w:tblGrid>
                  <w:tr w:rsidR="001B2A02" w:rsidRPr="00EE462B">
                    <w:trPr>
                      <w:jc w:val="right"/>
                    </w:trPr>
                    <w:tc>
                      <w:tcPr>
                        <w:tcW w:w="4225" w:type="pct"/>
                      </w:tcPr>
                      <w:p w:rsidR="001B2A02" w:rsidRDefault="001B2A02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1, בחוק זה -</w:t>
                        </w:r>
                      </w:p>
                      <w:p w:rsidR="001B2A02" w:rsidRDefault="001B2A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"שנת הנחה" - שבת מס שלגביה חייב היה אדם להגיש דו"ח לפי סעיף</w:t>
                        </w:r>
                      </w:p>
                      <w:p w:rsidR="001B2A02" w:rsidRDefault="001B2A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131 לפקודת מס הכבסה 1 (להלן - הפקודה), לפבי יום כ"ו באייר תשכ"ז (5</w:t>
                        </w:r>
                      </w:p>
                      <w:p w:rsidR="001B2A02" w:rsidRDefault="001B2A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ביובי 1967);</w:t>
                        </w:r>
                      </w:p>
                      <w:p w:rsidR="001B2A02" w:rsidRDefault="001B2A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"הצהרה מתקנת" - הצהרה שמסר אדם לעבין סעיף 6 לחוק החביבה,</w:t>
                        </w:r>
                      </w:p>
                      <w:p w:rsidR="001B2A02" w:rsidRDefault="001B2A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תשכ"ז~21967 (להלן -- חוק החביבה);</w:t>
                        </w:r>
                      </w:p>
                      <w:p w:rsidR="001B2A02" w:rsidRDefault="001B2A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"הפרש הכבסה" -</w:t>
                        </w:r>
                      </w:p>
                      <w:p w:rsidR="001B2A02" w:rsidRDefault="001B2A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הסכום שבו עולה הכנסתו של אדם לשבה משבות ההנחה, לפי</w:t>
                        </w:r>
                      </w:p>
                      <w:p w:rsidR="001B2A02" w:rsidRDefault="001B2A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הצהרתו המתקבת -</w:t>
                        </w:r>
                      </w:p>
                      <w:p w:rsidR="001B2A02" w:rsidRDefault="001B2A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על סכום הכבסתו לפי השומה שבערבה לו לאותה שבת הבחה</w:t>
                        </w:r>
                      </w:p>
                      <w:p w:rsidR="001B2A02" w:rsidRDefault="001B2A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לפבי תחילת חוק זה, בין אם הוגשו השגה או ערעור ובין אם לאו;</w:t>
                        </w:r>
                      </w:p>
                      <w:p w:rsidR="001B2A02" w:rsidRDefault="001B2A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אם לא בערכה לו שומה כאמור - על סכום הכבסתו לפי</w:t>
                        </w:r>
                      </w:p>
                      <w:p w:rsidR="001B2A02" w:rsidRDefault="001B2A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השומה האחרובה שבערבה לו לפבי תחילת חוק זה, בין אם הוגשו</w:t>
                        </w:r>
                      </w:p>
                      <w:p w:rsidR="001B2A02" w:rsidRDefault="001B2A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השגה או ערעור ובין אם לאו, או על סכום ההכנסה שהצהיר עליה</w:t>
                        </w:r>
                      </w:p>
                      <w:p w:rsidR="001B2A02" w:rsidRDefault="001B2A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לשבת הבחה בדו"ח שהגיש לפי סעיף 131 או 133 לפקודה לפבי תחילת</w:t>
                        </w:r>
                      </w:p>
                      <w:p w:rsidR="001B2A02" w:rsidRDefault="001B2A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זה, הכל לפי הסכום הגבוה יותר;</w:t>
                        </w:r>
                      </w:p>
                      <w:p w:rsidR="001B2A02" w:rsidRDefault="001B2A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(111) אם לא בערכה לו כל שומה ואף לא הגיש כל דו"ח לפי סעיף</w:t>
                        </w:r>
                      </w:p>
                      <w:p w:rsidR="001B2A02" w:rsidRDefault="001B2A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131 או 133 לפקודה - על סכום הכבסתו בשבת הבחה שלגביה שילם</w:t>
                        </w:r>
                      </w:p>
                      <w:p w:rsidR="001B2A02" w:rsidRDefault="001B2A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מקדמות ועל סכום הכבסתו כאמור שממבה בוכה מס;</w:t>
                        </w:r>
                      </w:p>
                      <w:p w:rsidR="001B2A02" w:rsidRDefault="001B2A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לגבי אדם שלא בערכה לו כל שומה ולא הגיש כל דו"ח לפי סעיף</w:t>
                        </w:r>
                      </w:p>
                      <w:p w:rsidR="001B2A02" w:rsidRDefault="001B2A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131 או 133 ולא שילם כל מקדמה ואף לא בוכה כל מס מהכבסתו - סכום</w:t>
                        </w:r>
                      </w:p>
                      <w:p w:rsidR="001B2A02" w:rsidRDefault="001B2A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הכבסתו לפי ההצהרה המתקבת.</w:t>
                        </w:r>
                      </w:p>
                      <w:p w:rsidR="001B2A02" w:rsidRPr="00EE462B" w:rsidRDefault="001B2A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יתר המובחים - כמשמעותם בפקודה.</w:t>
                        </w:r>
                      </w:p>
                    </w:tc>
                    <w:tc>
                      <w:tcPr>
                        <w:tcW w:w="775" w:type="pct"/>
                      </w:tcPr>
                      <w:p w:rsidR="001B2A02" w:rsidRPr="00EE462B" w:rsidRDefault="001B2A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1B2A02" w:rsidRPr="00EE462B">
                    <w:trPr>
                      <w:jc w:val="right"/>
                    </w:trPr>
                    <w:tc>
                      <w:tcPr>
                        <w:tcW w:w="4225" w:type="pct"/>
                      </w:tcPr>
                      <w:p w:rsidR="001B2A02" w:rsidRDefault="001B2A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על אף האמור בפקודה, אדם שמסר הצהרה מתקבת יהא חייב על הפרש ההכבסה</w:t>
                        </w:r>
                      </w:p>
                      <w:p w:rsidR="001B2A02" w:rsidRDefault="001B2A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במס של 25%, ואם הוא חבר-בבי-אדם יחולו לעבין זה הוראות סעיף 128 לפקודה.</w:t>
                        </w:r>
                      </w:p>
                      <w:p w:rsidR="001B2A02" w:rsidRDefault="001B2A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המס ישולם תוך ארבעה חדשים מיום תחילת התקבות שהתקין שר האוצר לפי</w:t>
                        </w:r>
                      </w:p>
                      <w:p w:rsidR="001B2A02" w:rsidRDefault="001B2A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4; אולם פקיד השומה רשאי, אם ביתנה לו סיבה מספקת לכך, להאריך את מועד</w:t>
                        </w:r>
                      </w:p>
                      <w:p w:rsidR="001B2A02" w:rsidRPr="00EE462B" w:rsidRDefault="001B2A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התשלום כולו או מקצתו.</w:t>
                        </w:r>
                      </w:p>
                    </w:tc>
                    <w:tc>
                      <w:tcPr>
                        <w:tcW w:w="775" w:type="pct"/>
                      </w:tcPr>
                      <w:p w:rsidR="001B2A02" w:rsidRDefault="001B2A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שיטור מס מופחת</w:t>
                        </w:r>
                      </w:p>
                      <w:p w:rsidR="001B2A02" w:rsidRPr="00EE462B" w:rsidRDefault="001B2A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ותשלומו</w:t>
                        </w:r>
                      </w:p>
                    </w:tc>
                  </w:tr>
                  <w:tr w:rsidR="001B2A02" w:rsidRPr="00EE462B">
                    <w:trPr>
                      <w:jc w:val="right"/>
                    </w:trPr>
                    <w:tc>
                      <w:tcPr>
                        <w:tcW w:w="4225" w:type="pct"/>
                      </w:tcPr>
                      <w:p w:rsidR="001B2A02" w:rsidRDefault="001B2A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פקיד השומה יערוך או יתקן את השומה, לפי המקרה, לאור ההצהרה המתקבת, אולם</w:t>
                        </w:r>
                      </w:p>
                      <w:p w:rsidR="001B2A02" w:rsidRPr="00EE462B" w:rsidRDefault="001B2A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אין בהוראות אלה כדי לגרוע מסמכויותיהם של הבציב ופקיד שומה לפי הפקודה.</w:t>
                        </w:r>
                      </w:p>
                    </w:tc>
                    <w:tc>
                      <w:tcPr>
                        <w:tcW w:w="775" w:type="pct"/>
                      </w:tcPr>
                      <w:p w:rsidR="001B2A02" w:rsidRPr="00EE462B" w:rsidRDefault="001B2A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שומות</w:t>
                        </w:r>
                      </w:p>
                    </w:tc>
                  </w:tr>
                </w:tbl>
                <w:p w:rsidR="001B2A02" w:rsidRDefault="001B2A0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3461" o:spid="_x0000_s1029" type="#_x0000_t202" style="position:absolute;left:0;text-align:left;margin-left:141.95pt;margin-top:90.45pt;width:284.15pt;height:22.35pt;z-index:1;mso-wrap-style:none;mso-position-horizontal-relative:page;mso-position-vertical-relative:page" stroked="f">
            <v:textbox style="mso-next-textbox:#_x0000_s13461" inset="0,0,0,0">
              <w:txbxContent>
                <w:p w:rsidR="001B2A02" w:rsidRPr="00EE462B" w:rsidRDefault="001B2A02">
                  <w:pPr>
                    <w:pStyle w:val="OCRStyle1"/>
                    <w:ind w:left="248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מס הכנסה (הצהרות מתקנות)' תשכ"ז-1967 *</w:t>
                  </w:r>
                </w:p>
              </w:txbxContent>
            </v:textbox>
            <w10:wrap anchorx="page" anchory="page"/>
          </v:shape>
        </w:pict>
      </w:r>
    </w:p>
    <w:p w:rsidR="001B2A02" w:rsidRDefault="001B2A02">
      <w:pPr>
        <w:rPr>
          <w:rtl/>
        </w:rPr>
      </w:pPr>
      <w:r>
        <w:rPr>
          <w:rtl/>
        </w:rPr>
        <w:br w:type="page"/>
      </w:r>
    </w:p>
    <w:p w:rsidR="001B2A02" w:rsidRDefault="00000000">
      <w:pPr>
        <w:rPr>
          <w:rtl/>
        </w:rPr>
      </w:pPr>
      <w:r>
        <w:pict>
          <v:shape id="_x0000_s13462" o:spid="_x0000_s1030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13462" inset="0,0,0,0">
              <w:txbxContent>
                <w:p w:rsidR="001B2A02" w:rsidRDefault="001B2A02">
                  <w:r>
                    <w:rPr>
                      <w:rtl/>
                    </w:rPr>
                    <w:t>103                                          ספר החוקים 505                     א' באב התשכ"ז 07.08.1967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13463" o:spid="_x0000_s1031" type="#_x0000_t202" style="position:absolute;left:0;text-align:left;margin-left:199.3pt;margin-top:164.9pt;width:86.15pt;height:42.15pt;z-index:9;mso-wrap-style:none;mso-position-horizontal-relative:page;mso-position-vertical-relative:page" stroked="f">
            <v:textbox style="mso-next-textbox:#_x0000_s13463" inset="0,0,0,0">
              <w:txbxContent>
                <w:p w:rsidR="001B2A02" w:rsidRDefault="001B2A02">
                  <w:pPr>
                    <w:pStyle w:val="OCRStyle2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1B2A02" w:rsidRDefault="001B2A02">
                  <w:pPr>
                    <w:pStyle w:val="OCRStyle2"/>
                    <w:ind w:left="450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3464" o:spid="_x0000_s1032" type="#_x0000_t202" style="position:absolute;left:0;text-align:left;margin-left:325.05pt;margin-top:163.15pt;width:74.05pt;height:43.15pt;z-index:8;mso-wrap-style:none;mso-position-horizontal-relative:page;mso-position-vertical-relative:page" stroked="f">
            <v:textbox style="mso-next-textbox:#_x0000_s13464" inset="0,0,0,0">
              <w:txbxContent>
                <w:p w:rsidR="001B2A02" w:rsidRDefault="001B2A02">
                  <w:pPr>
                    <w:pStyle w:val="OCRStyle2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1B2A02" w:rsidRDefault="001B2A02">
                  <w:pPr>
                    <w:pStyle w:val="OCRStyle2"/>
                    <w:ind w:left="22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3465" o:spid="_x0000_s1033" type="#_x0000_t202" style="position:absolute;left:0;text-align:left;margin-left:436.9pt;margin-top:187.3pt;width:121.35pt;height:49.1pt;z-index:7;mso-wrap-style:none;mso-position-horizontal-relative:page;mso-position-vertical-relative:page" stroked="f">
            <v:textbox style="mso-next-textbox:#_x0000_s13465" inset="0,0,0,0">
              <w:txbxContent>
                <w:p w:rsidR="001B2A02" w:rsidRDefault="001B2A02">
                  <w:pPr>
                    <w:pStyle w:val="OCRStyle2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1B2A02" w:rsidRDefault="001B2A02">
                  <w:pPr>
                    <w:pStyle w:val="OCRStyle2"/>
                    <w:ind w:left="67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3466" o:spid="_x0000_s1034" type="#_x0000_t202" style="position:absolute;left:0;text-align:left;margin-left:99.5pt;margin-top:66.7pt;width:466.5pt;height:95.65pt;z-index:6;mso-wrap-style:none;mso-position-horizontal-relative:page;mso-position-vertical-relative:page" stroked="f">
            <v:textbox style="mso-next-textbox:#_x0000_s13466" inset="0,0,0,0">
              <w:txbxContent>
                <w:tbl>
                  <w:tblPr>
                    <w:tblW w:w="497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55"/>
                    <w:gridCol w:w="7225"/>
                  </w:tblGrid>
                  <w:tr w:rsidR="001B2A02" w:rsidRPr="001B2A02">
                    <w:trPr>
                      <w:jc w:val="right"/>
                    </w:trPr>
                    <w:tc>
                      <w:tcPr>
                        <w:tcW w:w="740" w:type="pct"/>
                      </w:tcPr>
                      <w:p w:rsidR="001B2A02" w:rsidRPr="001B2A02" w:rsidRDefault="001B2A0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260" w:type="pct"/>
                      </w:tcPr>
                      <w:p w:rsidR="001B2A02" w:rsidRDefault="001B2A0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שר האוצר ממונה על ביצוע חוק זה והוא רשאי להתקין תקנות בכל ענין הנוגע</w:t>
                        </w:r>
                      </w:p>
                      <w:p w:rsidR="001B2A02" w:rsidRPr="001B2A02" w:rsidRDefault="001B2A0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 לרבות תקנות לענין הצהרה מתקנת.</w:t>
                        </w:r>
                      </w:p>
                    </w:tc>
                  </w:tr>
                  <w:tr w:rsidR="001B2A02" w:rsidRPr="001B2A02">
                    <w:trPr>
                      <w:jc w:val="right"/>
                    </w:trPr>
                    <w:tc>
                      <w:tcPr>
                        <w:tcW w:w="740" w:type="pct"/>
                      </w:tcPr>
                      <w:p w:rsidR="001B2A02" w:rsidRPr="001B2A02" w:rsidRDefault="001B2A0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תחולת הפקודה</w:t>
                        </w:r>
                      </w:p>
                    </w:tc>
                    <w:tc>
                      <w:tcPr>
                        <w:tcW w:w="4260" w:type="pct"/>
                      </w:tcPr>
                      <w:p w:rsidR="001B2A02" w:rsidRDefault="001B2A0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 (א) דין הצהרה מתקנת לענין חלק י"א לפקודה, כדין דו"ח שהוגש לפי הפקודה.</w:t>
                        </w:r>
                      </w:p>
                      <w:p w:rsidR="001B2A02" w:rsidRPr="001B2A02" w:rsidRDefault="001B2A0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הפקודה לענין הגבייה יחולו על חוק זה.</w:t>
                        </w:r>
                      </w:p>
                    </w:tc>
                  </w:tr>
                </w:tbl>
                <w:p w:rsidR="001B2A02" w:rsidRDefault="001B2A0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E462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E462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141378C-AAEE-4680-BBB4-6F34C8A68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E462B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1B2A02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2008-04-09T14:02:00Z</dcterms:created>
  <dcterms:modified xsi:type="dcterms:W3CDTF">2008-04-09T14:02:00Z</dcterms:modified>
</cp:coreProperties>
</file>