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1FBC" w:rsidRDefault="009B1FBC">
      <w:pPr>
        <w:rPr>
          <w:rtl/>
        </w:rPr>
      </w:pPr>
    </w:p>
    <w:p w:rsidR="009B1F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1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513" inset="0,0,0,0">
              <w:txbxContent>
                <w:p w:rsidR="00EF1B21" w:rsidRDefault="00EF1B21">
                  <w:r>
                    <w:rPr>
                      <w:rtl/>
                    </w:rPr>
                    <w:t>82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4" o:spid="_x0000_s1026" type="#_x0000_t202" style="position:absolute;left:0;text-align:left;margin-left:93.8pt;margin-top:713.45pt;width:177.2pt;height:22.95pt;z-index:4;mso-position-horizontal-relative:page;mso-position-vertical-relative:page" stroked="f">
            <v:textbox style="mso-next-textbox:#_x0000_s13514" inset="0,0,0,0">
              <w:txbxContent>
                <w:p w:rsidR="00EF1B21" w:rsidRDefault="00EF1B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15" o:spid="_x0000_s1027" type="#_x0000_t202" style="position:absolute;left:0;text-align:left;margin-left:92.85pt;margin-top:623.95pt;width:380.35pt;height:79.2pt;z-index:3;mso-position-horizontal-relative:page;mso-position-vertical-relative:page" stroked="f">
            <v:textbox style="mso-next-textbox:#_x0000_s13515" inset="0,0,0,0">
              <w:txbxContent>
                <w:p w:rsidR="00EF1B21" w:rsidRDefault="00EF1B2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1904); הצעת החוק ודברי הסבר פורסמו בה"ח 587, תשכ"ד,</w:t>
                  </w:r>
                </w:p>
                <w:p w:rsidR="00EF1B21" w:rsidRDefault="00EF1B2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עמ' 36.</w:t>
                  </w:r>
                </w:p>
                <w:p w:rsidR="00EF1B21" w:rsidRDefault="00EF1B2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תשכ"א, עמ' 120.</w:t>
                  </w:r>
                </w:p>
                <w:p w:rsidR="00EF1B21" w:rsidRDefault="00EF1B2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 ע"ר 1941, תוס' 2 מס' 1138, עמ' 1380.</w:t>
                  </w:r>
                </w:p>
                <w:p w:rsidR="00EF1B21" w:rsidRDefault="00EF1B2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3 ס"ח 210, תשי"ז, עמ .8</w:t>
                  </w:r>
                </w:p>
                <w:p w:rsidR="00EF1B21" w:rsidRPr="009B1FBC" w:rsidRDefault="00EF1B2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4 ס"ח 423, תשכ"ד,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6" o:spid="_x0000_s1028" type="#_x0000_t202" style="position:absolute;left:0;text-align:left;margin-left:90.65pt;margin-top:105pt;width:458.55pt;height:513.6pt;z-index:2;mso-position-horizontal-relative:page;mso-position-vertical-relative:page" stroked="f">
            <v:textbox style="mso-next-textbox:#_x0000_s135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137"/>
                  </w:tblGrid>
                  <w:tr w:rsidR="00EF1B21" w:rsidRPr="009B1FB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F1B21" w:rsidRDefault="00EF1B2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כחוק זה -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הלוואה שנתקיימו בה כל אלה: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נתקבלה ביום הקובע או לפניו ונפרעה, כולה או מקצתה' לאחר אותו יום;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משמשת למקבלה בהשגת הכנסה לפי סעיף 2(1) לפקודה מס הכנסה 1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 -בתעשיה, בתחבורה, בחקלאות ובכלל זה בתי אריזה של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חקלאית, בבניה או בבית מלון?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נותן ההלוואה אינו נמנה עם המפורטים בתוספת: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הוכח להנחת דעתו של פקיד השומה שניתנה בתום לב: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צמודה למטבע-חוץ" - הלוואה שבה הקרן צמודה לשער החליפין הרשמי, או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במטבע-חוץ באישור המפקח על מטבע-חוץ כמשמעותו בתקנות ההגנה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(כספים), 21941, ושיש להחזירה במטבע-חוץ;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- כמשמעותו בחוק מילווה בטחון, תשי"ז-1956: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ה' באדר א' תשכ"ב (9 בפברואר 1962);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שנוסף לקרן הלוואה צמודה למטבע-חוץ עקב שינוי שחל בשער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אותו מטבע ביום הקובע;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שנוסף לקרן הלוואה צמודה למדד יוקר המחיה עקב עליית אותו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בתקופה שבין יום א' בשבט תשי"ט (1 בינואר 1959) ליום כ"ו בטבת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 (31 בדצמבר 1964), ואותו סכום נפרע לאחר היום הקובע;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שנוסף לקרן הלוואה צמודה למדד אחר עקב עליית אותו מדד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בתקופה שבין יום א' בשבט תשי"ט (1 בינואר 1959) ליום כ"ו בטבת תשכ"ה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1964), ואותו סכום נפרע לאחר היום הקובע, אך לא יותר מהסכום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מתווסף כאמור אילו היתה הלוואה צמודה למדד יוקר המחיה;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עסקי" - כמשמעותו בחוק מס הכנסה (תוספת פחת על נכסים עסקיים), תשכ"ד-1964  4:</w:t>
                        </w:r>
                      </w:p>
                      <w:p w:rsidR="00EF1B21" w:rsidRPr="009B1FBC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המונחים כמשמעותם בפקודה.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F1B21" w:rsidRPr="009B1FBC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F1B21" w:rsidRPr="009B1FBC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סכום הפרשי הצמדה ששילם נישום בשנת מס 1962 או בכל שנת מס שלאחריה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מהכנסתו החייבת לאותה שנת מס שבה שילם ולשלוש שנות המס שלאחריה, לכל שנה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מאותו סכום, ולענין זה יראו הפרשי הצמדה ששולמו כתקופה שבין יום ה' באדר א'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(9 בפברואר 1962) לבין כ"ה באדר ב' תשכ"ב (31 במרס 1962) כאילו שולמו בשנת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1962.</w:t>
                        </w:r>
                      </w:p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בשנת מס פלונית אי אפשר היה לנכות את הפרשי ההצמדה שהותר לנכותם</w:t>
                        </w:r>
                      </w:p>
                      <w:p w:rsidR="00EF1B21" w:rsidRPr="009B1FBC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יראו את הסכום שלא נוכה כהפסד לענין סעיף 28 לפקודה.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F1B21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הפרשי</w:t>
                        </w:r>
                      </w:p>
                      <w:p w:rsidR="00EF1B21" w:rsidRPr="009B1FBC" w:rsidRDefault="00EF1B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</w:tr>
                </w:tbl>
                <w:p w:rsidR="00EF1B21" w:rsidRDefault="00EF1B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17" o:spid="_x0000_s1029" type="#_x0000_t202" style="position:absolute;left:0;text-align:left;margin-left:131.45pt;margin-top:71.5pt;width:306.3pt;height:26.15pt;z-index:1;mso-position-horizontal-relative:page;mso-position-vertical-relative:page" stroked="f">
            <v:textbox style="mso-next-textbox:#_x0000_s13517" inset="0,0,0,0">
              <w:txbxContent>
                <w:p w:rsidR="00EF1B21" w:rsidRPr="009B1FBC" w:rsidRDefault="00EF1B21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(ניכוי הפרשי הצמדה), תשכ"ד-1964 *</w:t>
                  </w:r>
                </w:p>
              </w:txbxContent>
            </v:textbox>
            <w10:wrap anchorx="page" anchory="page"/>
          </v:shape>
        </w:pict>
      </w:r>
    </w:p>
    <w:p w:rsidR="00EF1B21" w:rsidRDefault="00EF1B21">
      <w:pPr>
        <w:rPr>
          <w:rtl/>
        </w:rPr>
      </w:pPr>
      <w:r>
        <w:rPr>
          <w:rtl/>
        </w:rPr>
        <w:br w:type="page"/>
      </w:r>
    </w:p>
    <w:p w:rsidR="00EF1B21" w:rsidRDefault="00000000">
      <w:pPr>
        <w:rPr>
          <w:rtl/>
        </w:rPr>
      </w:pPr>
      <w:r>
        <w:pict>
          <v:shape id="_x0000_s13518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518" inset="0,0,0,0">
              <w:txbxContent>
                <w:p w:rsidR="00EF1B21" w:rsidRDefault="00EF1B21">
                  <w:r>
                    <w:rPr>
                      <w:rtl/>
                    </w:rPr>
                    <w:t>83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9" o:spid="_x0000_s1031" type="#_x0000_t202" style="position:absolute;left:0;text-align:left;margin-left:374.8pt;margin-top:720.3pt;width:164.55pt;height:18.8pt;z-index:12;mso-position-horizontal-relative:page;mso-position-vertical-relative:page" stroked="f">
            <v:textbox style="mso-next-textbox:#_x0000_s13519" inset="0,0,0,0">
              <w:txbxContent>
                <w:p w:rsidR="00EF1B21" w:rsidRDefault="00EF1B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520" o:spid="_x0000_s1032" type="#_x0000_t202" style="position:absolute;left:0;text-align:left;margin-left:185.15pt;margin-top:600.5pt;width:76.05pt;height:36.45pt;z-index:11;mso-position-horizontal-relative:page;mso-position-vertical-relative:page" stroked="f">
            <v:textbox style="mso-next-textbox:#_x0000_s13520" inset="0,0,0,0">
              <w:txbxContent>
                <w:p w:rsidR="00EF1B21" w:rsidRDefault="00EF1B21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F1B21" w:rsidRDefault="00EF1B2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1" o:spid="_x0000_s1033" type="#_x0000_t202" style="position:absolute;left:0;text-align:left;margin-left:302.95pt;margin-top:600.5pt;width:86.55pt;height:37.4pt;z-index:10;mso-position-horizontal-relative:page;mso-position-vertical-relative:page" stroked="f">
            <v:textbox style="mso-next-textbox:#_x0000_s13521" inset="0,0,0,0">
              <w:txbxContent>
                <w:p w:rsidR="00EF1B21" w:rsidRDefault="00EF1B21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F1B21" w:rsidRDefault="00EF1B21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2" o:spid="_x0000_s1034" type="#_x0000_t202" style="position:absolute;left:0;text-align:left;margin-left:421.75pt;margin-top:631.8pt;width:132.25pt;height:29.1pt;z-index:9;mso-position-horizontal-relative:page;mso-position-vertical-relative:page" stroked="f">
            <v:textbox style="mso-next-textbox:#_x0000_s13522" inset="0,0,0,0">
              <w:txbxContent>
                <w:p w:rsidR="00EF1B21" w:rsidRDefault="00EF1B21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F1B21" w:rsidRDefault="00EF1B21">
                  <w:pPr>
                    <w:pStyle w:val="OCRStyle2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3" o:spid="_x0000_s1035" type="#_x0000_t202" style="position:absolute;left:0;text-align:left;margin-left:140.4pt;margin-top:431.65pt;width:398.95pt;height:159.4pt;z-index:8;mso-position-horizontal-relative:page;mso-position-vertical-relative:page" stroked="f">
            <v:textbox style="mso-next-textbox:#_x0000_s13523" inset="0,0,0,0">
              <w:txbxContent>
                <w:p w:rsidR="00EF1B21" w:rsidRDefault="00EF1B21">
                  <w:pPr>
                    <w:pStyle w:val="OCRStyle2"/>
                    <w:ind w:left="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1. חבר-בני-אדם </w:t>
                  </w:r>
                </w:p>
                <w:p w:rsidR="00EF1B21" w:rsidRDefault="00EF1B21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(א) שהוא חברת מעטים כמשמעותה בסעיף 76 לפקודה;</w:t>
                  </w:r>
                </w:p>
                <w:p w:rsidR="00EF1B21" w:rsidRDefault="00EF1B21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(ב) שמקבל ההלוואה הוא, במישרין או בעקיפין, אחד מבעלי השליטה בו</w:t>
                  </w:r>
                </w:p>
                <w:p w:rsidR="00EF1B21" w:rsidRDefault="00EF1B21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כאמור בסעיף 76 לפקודה:</w:t>
                  </w:r>
                </w:p>
                <w:p w:rsidR="00EF1B21" w:rsidRDefault="00EF1B21">
                  <w:pPr>
                    <w:pStyle w:val="OCRStyle2"/>
                    <w:ind w:left="911"/>
                    <w:rPr>
                      <w:rtl/>
                    </w:rPr>
                  </w:pPr>
                  <w:r>
                    <w:rPr>
                      <w:rtl/>
                    </w:rPr>
                    <w:t>(ג) שיש לו, במישרין או בעקיפין, שליטה במקבל ההלוואה:</w:t>
                  </w:r>
                </w:p>
                <w:p w:rsidR="00EF1B21" w:rsidRDefault="00EF1B21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(ד) שהוא שותף למקבל ההלוואה.</w:t>
                  </w:r>
                </w:p>
                <w:p w:rsidR="00EF1B21" w:rsidRDefault="00EF1B21">
                  <w:pPr>
                    <w:pStyle w:val="OCRStyle2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2. יחיד שהוא קרובו של מקבל ההלוואה או שותפו? ואם מקבל ההלוואה הוא חבר-בני-</w:t>
                  </w:r>
                </w:p>
                <w:p w:rsidR="00EF1B21" w:rsidRDefault="00EF1B21">
                  <w:pPr>
                    <w:pStyle w:val="OCRStyle2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אדם - קרוב לבעל השליטה בו:</w:t>
                  </w:r>
                </w:p>
                <w:p w:rsidR="00EF1B21" w:rsidRDefault="00EF1B21">
                  <w:pPr>
                    <w:pStyle w:val="OCRStyle2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"קרוב" לענין זה - בן זוג לרבות אחיו וצאצאיו, וכן צאצא, הורה, הורה של הורה, לרבות</w:t>
                  </w:r>
                </w:p>
                <w:p w:rsidR="00EF1B21" w:rsidRPr="00EF1B21" w:rsidRDefault="00EF1B21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בני זוגם, אחיהם וצאצאיהם.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4" o:spid="_x0000_s1036" type="#_x0000_t202" style="position:absolute;left:0;text-align:left;margin-left:328.9pt;margin-top:405.7pt;width:53.25pt;height:17.6pt;z-index:7;mso-position-horizontal-relative:page;mso-position-vertical-relative:page" stroked="f">
            <v:textbox style="mso-next-textbox:#_x0000_s13524" inset="0,0,0,0">
              <w:txbxContent>
                <w:p w:rsidR="00EF1B21" w:rsidRPr="00EF1B21" w:rsidRDefault="00EF1B21">
                  <w:pPr>
                    <w:pStyle w:val="OCRStyle2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25" o:spid="_x0000_s1037" type="#_x0000_t202" style="position:absolute;left:0;text-align:left;margin-left:93.45pt;margin-top:65.9pt;width:455.4pt;height:322.95pt;z-index:6;mso-position-horizontal-relative:page;mso-position-vertical-relative:page" stroked="f">
            <v:textbox style="mso-next-textbox:#_x0000_s135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7050"/>
                  </w:tblGrid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צמודה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נכס</w:t>
                        </w:r>
                      </w:p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נישום שקיבל הלוואה לרכישת נכס עסקי וכשל אותה הלוואה הוא עשוי להת-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הפרשי הצמדה, יהיה זכאי, לפי בחירתו, לניכוי לפי חוק זה בשל ההלוואה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או לניכוי נוסף לפי חוק מס הכנסה (תוספת פחת על נכסים עסקיים), תשכ"ד-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1964, בשל אותו נכס.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נישום כאילו קיבל הלוואה לשם רכישת נכס עסקי, הכל כאמור בסעיף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אם ביום הקובע היה לו נכס עסקי שעליו היה זכאי אותה שעה לניכוי פחת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וההלוואה נתקבלה תוך שנה לפני רכישתו או תוך שנה לאחר רכישתו של אותו נכס; הוא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אף אם נתקבלה הלוואה כאמור במועד אחר, זולת אם הנישום הוכיח שהשתמש</w:t>
                        </w:r>
                      </w:p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בהלוואה למטרה שאיננה רכישת נכס עסקי.</w:t>
                        </w:r>
                      </w:p>
                    </w:tc>
                  </w:tr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הצמדה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סכום הניכוי שנישום זכאי לו לפי חוק זה בשל הפרשי הצמדה ששילם בשנת מס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יופחת בסכומים ששולמו לו באותה שנת מס כתוספת לחוב שחבו לו עקב שינוי</w:t>
                        </w:r>
                      </w:p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בשער החליפין של המטבע, במדד יוקר המחיה או במדד האחר.</w:t>
                        </w:r>
                      </w:p>
                    </w:tc>
                  </w:tr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.הניכוי לפי חוק זה לא ייתר אלא אם ניהל הנישום ספרי חשבון נאותים.</w:t>
                        </w:r>
                      </w:p>
                    </w:tc>
                  </w:tr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מם הכנסה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.הוראות הפקודה יחולו על חוק זה כאילו היה חלק ממנה.</w:t>
                        </w:r>
                      </w:p>
                    </w:tc>
                  </w:tr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האמור בחוק זה לא יחול על הפרשי הצמדה שהם הוצאה או הכנסה לפי הפקודה.</w:t>
                        </w:r>
                      </w:p>
                    </w:tc>
                  </w:tr>
                  <w:tr w:rsidR="00EF1B21" w:rsidRPr="00EF1B21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ממונה על ביצוע חוק זה והוא רשאי להתקין תקנות בכל ענין הנוגע</w:t>
                        </w:r>
                      </w:p>
                      <w:p w:rsid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ובכלל זה תקנות בדבר ראיות שעל הנישום להגיש לשם ביסוס תביעתו לניכוי</w:t>
                        </w:r>
                      </w:p>
                      <w:p w:rsidR="00EF1B21" w:rsidRPr="00EF1B21" w:rsidRDefault="00EF1B2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לפי חוק זה.</w:t>
                        </w:r>
                      </w:p>
                    </w:tc>
                  </w:tr>
                </w:tbl>
                <w:p w:rsidR="00EF1B21" w:rsidRDefault="00EF1B2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1F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07A833-3FE0-4D68-8A1A-136F03B1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1F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F1B2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2008-04-06T20:02:00Z</dcterms:created>
  <dcterms:modified xsi:type="dcterms:W3CDTF">2008-04-06T20:03:00Z</dcterms:modified>
</cp:coreProperties>
</file>