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41DF" w:rsidRDefault="007041DF">
      <w:pPr>
        <w:rPr>
          <w:rtl/>
        </w:rPr>
      </w:pPr>
    </w:p>
    <w:p w:rsidR="007041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5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541" inset="0,0,0,0">
              <w:txbxContent>
                <w:p w:rsidR="007041DF" w:rsidRDefault="007041DF">
                  <w:r>
                    <w:rPr>
                      <w:rtl/>
                    </w:rPr>
                    <w:t>12                                           ספר החוקים 579                    כ"ח בטבת התש"ל 06.01.1970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42" o:spid="_x0000_s1026" type="#_x0000_t202" style="position:absolute;left:0;text-align:left;margin-left:87.7pt;margin-top:603.1pt;width:384.9pt;height:136.05pt;z-index:6;mso-wrap-style:none;mso-position-horizontal-relative:page;mso-position-vertical-relative:page" stroked="f">
            <v:textbox style="mso-next-textbox:#_x0000_s14542" inset="0,0,0,0">
              <w:txbxContent>
                <w:p w:rsidR="007041DF" w:rsidRDefault="007041D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בטבת תש''ל (31 בדצמבר 1969); הצעת החוק ודברי הסבר פורסמו בה"ח 861, תש"ל,</w:t>
                  </w:r>
                </w:p>
                <w:p w:rsidR="007041DF" w:rsidRDefault="007041DF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14.</w:t>
                  </w:r>
                </w:p>
                <w:p w:rsidR="007041DF" w:rsidRPr="007041DF" w:rsidRDefault="007041DF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תשכ"א, עמ' 100; תשכ"ד, עמ' 91; תשכ"ח, עמ' 197; תשכ"ז, עמי 26; תשכיח, עמ' 42; תשכ"ט,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43" o:spid="_x0000_s1027" type="#_x0000_t202" style="position:absolute;left:0;text-align:left;margin-left:118pt;margin-top:380.15pt;width:92.05pt;height:38.6pt;z-index:5;mso-wrap-style:none;mso-position-horizontal-relative:page;mso-position-vertical-relative:page" stroked="f">
            <v:textbox style="mso-next-textbox:#_x0000_s14543" inset="0,0,0,0">
              <w:txbxContent>
                <w:p w:rsidR="007041DF" w:rsidRDefault="007041D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041DF" w:rsidRDefault="007041DF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44" o:spid="_x0000_s1028" type="#_x0000_t202" style="position:absolute;left:0;text-align:left;margin-left:238.4pt;margin-top:381.7pt;width:93.85pt;height:36.25pt;z-index:4;mso-wrap-style:none;mso-position-horizontal-relative:page;mso-position-vertical-relative:page" stroked="f">
            <v:textbox style="mso-next-textbox:#_x0000_s14544" inset="0,0,0,0">
              <w:txbxContent>
                <w:p w:rsidR="007041DF" w:rsidRDefault="007041D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041DF" w:rsidRDefault="007041DF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45" o:spid="_x0000_s1029" type="#_x0000_t202" style="position:absolute;left:0;text-align:left;margin-left:359pt;margin-top:408.45pt;width:121.35pt;height:36.25pt;z-index:3;mso-wrap-style:none;mso-position-horizontal-relative:page;mso-position-vertical-relative:page" stroked="f">
            <v:textbox style="mso-next-textbox:#_x0000_s14545" inset="0,0,0,0">
              <w:txbxContent>
                <w:p w:rsidR="007041DF" w:rsidRDefault="007041D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041DF" w:rsidRDefault="007041DF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46" o:spid="_x0000_s1030" type="#_x0000_t202" style="position:absolute;left:0;text-align:left;margin-left:81pt;margin-top:104.5pt;width:474.2pt;height:262.55pt;z-index:2;mso-wrap-style:none;mso-position-horizontal-relative:page;mso-position-vertical-relative:page" stroked="f">
            <v:textbox style="mso-next-textbox:#_x0000_s14546" inset="0,0,0,0">
              <w:txbxContent>
                <w:tbl>
                  <w:tblPr>
                    <w:tblW w:w="50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5"/>
                    <w:gridCol w:w="1214"/>
                    <w:gridCol w:w="1345"/>
                  </w:tblGrid>
                  <w:tr w:rsidR="007041DF" w:rsidRPr="007041DF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7041DF" w:rsidRP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מס רכוש וקרן פיצויים, תשכ"א-11961, אחרי סעיף 46ב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041DF" w:rsidRPr="007041DF" w:rsidRDefault="007041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46ג</w:t>
                        </w:r>
                      </w:p>
                    </w:tc>
                  </w:tr>
                  <w:tr w:rsidR="007041DF">
                    <w:trPr>
                      <w:jc w:val="right"/>
                    </w:trPr>
                    <w:tc>
                      <w:tcPr>
                        <w:tcW w:w="3516" w:type="pct"/>
                      </w:tcPr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46ג. (א) כדי לאפשר תשלום פיצויים מקרן הפיצויים, בעד נזק לנכסי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ישראליים, רשאי שר האוצר באישור ועדת הכספים של הכנסת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בתקנות, בין דרך כלל ובין לסוגים של בעלים, כי הוראות חוק זה,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יחולו על סוגים מסויימים של נכסי חוץ ישראליים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בישראל ובתיאומים שיורה עליהם בתקנות או המחוייבים לפי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קטן (א) ייקבעו, בין היתר, פרטים אלה: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הוראות חוק זה יחולו רק לפי בקשת בעל הנכס,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שיחולו כל עוד לא ביקש בעל הנכס אחרת;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התשלום שיחול על בעל הנכס;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סוגי הנזק שבעדם ישולמו פיצויים ושיעורי הפיצויים.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"נכס חוץ ישראלי" - מקרקעין, מלאי או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הנמצאים מחוץ לשטח המדינה ואשר בעליו הוא אזרח ישראל,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או תאגיד הרשום בישראל."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נכסים</w:t>
                        </w:r>
                      </w:p>
                      <w:p w:rsidR="007041DF" w:rsidRDefault="007041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לשטח</w:t>
                        </w:r>
                      </w:p>
                      <w:p w:rsidR="007041DF" w:rsidRPr="007041DF" w:rsidRDefault="007041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041DF" w:rsidRDefault="007041D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041DF" w:rsidRDefault="007041D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47" o:spid="_x0000_s1031" type="#_x0000_t202" style="position:absolute;left:0;text-align:left;margin-left:137.8pt;margin-top:72.65pt;width:306.3pt;height:25.95pt;z-index:1;mso-wrap-style:none;mso-position-horizontal-relative:page;mso-position-vertical-relative:page" stroked="f">
            <v:textbox style="mso-next-textbox:#_x0000_s14547" inset="0,0,0,0">
              <w:txbxContent>
                <w:p w:rsidR="007041DF" w:rsidRPr="007041DF" w:rsidRDefault="007041DF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רכוש וקרן פיצויים (תיקון מס' 6), תש"ל-1969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41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BAA183-743C-4540-BA9C-73EAA5A7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41D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2008-04-09T14:38:00Z</dcterms:modified>
</cp:coreProperties>
</file>