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7CF1" w:rsidRDefault="00F67CF1">
      <w:pPr>
        <w:rPr>
          <w:rtl/>
        </w:rPr>
      </w:pPr>
    </w:p>
    <w:p w:rsidR="00F67C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7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770" inset="0,0,0,0">
              <w:txbxContent>
                <w:p w:rsidR="00F67CF1" w:rsidRDefault="00F67CF1">
                  <w:r>
                    <w:rPr>
                      <w:rtl/>
                    </w:rPr>
                    <w:t>105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1" o:spid="_x0000_s1026" type="#_x0000_t202" style="position:absolute;left:0;text-align:left;margin-left:159.65pt;margin-top:668.25pt;width:397pt;height:81.95pt;z-index:6;mso-wrap-style:none;mso-position-horizontal-relative:page;mso-position-vertical-relative:page" stroked="f">
            <v:textbox style="mso-next-textbox:#_x0000_s14771" inset="0,0,0,0">
              <w:txbxContent>
                <w:p w:rsidR="00F67CF1" w:rsidRDefault="00F67CF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בתמוז תשכ''ז (2 באוגוסט 1967); הצעת החוק ודברי הסבר פורסמו בה"ח 726, תשכ''ז,</w:t>
                  </w:r>
                </w:p>
                <w:p w:rsidR="00F67CF1" w:rsidRDefault="00F67CF1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עמ' 118.</w:t>
                  </w:r>
                </w:p>
                <w:p w:rsidR="00F67CF1" w:rsidRDefault="00F67CF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 ס''ח תשכ"ג, עמ' 156; ס''ח תשכ"ה, עמ' 40.</w:t>
                  </w:r>
                </w:p>
                <w:p w:rsidR="00F67CF1" w:rsidRPr="00F67CF1" w:rsidRDefault="00F67CF1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2 ק''ת 1874, תשכ''ו, עמ' ,1864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2" o:spid="_x0000_s1027" type="#_x0000_t202" style="position:absolute;left:0;text-align:left;margin-left:193.3pt;margin-top:577.2pt;width:80pt;height:42.95pt;z-index:5;mso-wrap-style:none;mso-position-horizontal-relative:page;mso-position-vertical-relative:page" stroked="f">
            <v:textbox style="mso-next-textbox:#_x0000_s14772" inset="0,0,0,0">
              <w:txbxContent>
                <w:p w:rsidR="00F67CF1" w:rsidRDefault="00F67CF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F67CF1" w:rsidRDefault="00F67CF1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3" o:spid="_x0000_s1028" type="#_x0000_t202" style="position:absolute;left:0;text-align:left;margin-left:314.65pt;margin-top:579.75pt;width:80pt;height:38.6pt;z-index:4;mso-wrap-style:none;mso-position-horizontal-relative:page;mso-position-vertical-relative:page" stroked="f">
            <v:textbox style="mso-next-textbox:#_x0000_s14773" inset="0,0,0,0">
              <w:txbxContent>
                <w:p w:rsidR="00F67CF1" w:rsidRDefault="00F67CF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67CF1" w:rsidRDefault="00F67CF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4" o:spid="_x0000_s1029" type="#_x0000_t202" style="position:absolute;left:0;text-align:left;margin-left:424.75pt;margin-top:608.05pt;width:133.45pt;height:43.15pt;z-index:3;mso-wrap-style:none;mso-position-horizontal-relative:page;mso-position-vertical-relative:page" stroked="f">
            <v:textbox style="mso-next-textbox:#_x0000_s14774" inset="0,0,0,0">
              <w:txbxContent>
                <w:p w:rsidR="00F67CF1" w:rsidRDefault="00F67CF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67CF1" w:rsidRDefault="00F67CF1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775" o:spid="_x0000_s1030" type="#_x0000_t202" style="position:absolute;left:0;text-align:left;margin-left:107.95pt;margin-top:450.45pt;width:438.15pt;height:124.15pt;z-index:2;mso-wrap-style:none;mso-position-horizontal-relative:page;mso-position-vertical-relative:page" stroked="f">
            <v:textbox style="mso-next-textbox:#_x0000_s14775" inset="0,0,0,0">
              <w:txbxContent>
                <w:tbl>
                  <w:tblPr>
                    <w:tblW w:w="46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6869"/>
                  </w:tblGrid>
                  <w:tr w:rsidR="00F67CF1" w:rsidRPr="00F67CF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F67CF1" w:rsidRP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בסעיף 9 לחוק מס שבח מקרקעין, תשכ"ג-1963  1-</w:t>
                        </w:r>
                      </w:p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(0/ אחרי "לכל דבר וענין" יבוא "למעט פטורים שלפי הפרק</w:t>
                        </w:r>
                      </w:p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הששי":</w:t>
                        </w:r>
                      </w:p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לענין סעיפים קטנים (א) ו-(ב), יראו כל הוראה בתקנות</w:t>
                        </w:r>
                      </w:p>
                      <w:p w:rsid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(אגרות), תשכ"ו-21966, המעניקה סמכות לפטור מתשלום</w:t>
                        </w:r>
                      </w:p>
                      <w:p w:rsidR="00F67CF1" w:rsidRPr="00F67CF1" w:rsidRDefault="00F67C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- כמעניקה אותה סמכות גם לגבי תוספת מס".</w:t>
                        </w:r>
                      </w:p>
                    </w:tc>
                  </w:tr>
                </w:tbl>
                <w:p w:rsidR="00F67CF1" w:rsidRDefault="00F67C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776" o:spid="_x0000_s1031" type="#_x0000_t202" style="position:absolute;left:0;text-align:left;margin-left:213.1pt;margin-top:422.95pt;width:296pt;height:24.95pt;z-index:1;mso-wrap-style:none;mso-position-horizontal-relative:page;mso-position-vertical-relative:page" stroked="f">
            <v:textbox style="mso-next-textbox:#_x0000_s14776" inset="0,0,0,0">
              <w:txbxContent>
                <w:p w:rsidR="00F67CF1" w:rsidRPr="00F67CF1" w:rsidRDefault="00F67CF1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שבח מקרקעין (תיקון מס' 2),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7C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2C4818-4F0D-4079-BB52-D83FA82F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7C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