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53C39" w:rsidRDefault="00853C39">
      <w:pPr>
        <w:rPr>
          <w:rtl/>
        </w:rPr>
      </w:pPr>
    </w:p>
    <w:p w:rsidR="00853C3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23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5235" inset="0,0,0,0">
              <w:txbxContent>
                <w:p w:rsidR="00853C39" w:rsidRDefault="00853C39">
                  <w:r>
                    <w:rPr>
                      <w:rtl/>
                    </w:rPr>
                    <w:t>118                                          ספר החוקים 453                כ"א באדר ב' התשכ"ה 25.03.1965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36" o:spid="_x0000_s1026" type="#_x0000_t202" style="position:absolute;left:0;text-align:left;margin-left:79.8pt;margin-top:614.35pt;width:383.9pt;height:141.35pt;z-index:6;mso-position-horizontal-relative:page;mso-position-vertical-relative:page" stroked="f">
            <v:textbox style="mso-next-textbox:#_x0000_s15236" inset="0,0,0,0">
              <w:txbxContent>
                <w:p w:rsidR="00853C39" w:rsidRDefault="00853C39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י*א באדר ב' תשכ"ח (15 במרס 1965); הגעת החוק ודברי הסבר פורסמו בה"ח 634, תשכיח,</w:t>
                  </w:r>
                </w:p>
                <w:p w:rsidR="00853C39" w:rsidRDefault="00853C39">
                  <w:pPr>
                    <w:pStyle w:val="OCRStyle1"/>
                    <w:ind w:left="3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82.</w:t>
                  </w:r>
                </w:p>
                <w:p w:rsidR="00853C39" w:rsidRDefault="00853C39">
                  <w:pPr>
                    <w:pStyle w:val="OCRStyle1"/>
                    <w:ind w:left="2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עיר 1937/ תוס' 1 מס' 714/ עמ' 183.</w:t>
                  </w:r>
                </w:p>
                <w:p w:rsidR="00853C39" w:rsidRDefault="00853C39">
                  <w:pPr>
                    <w:pStyle w:val="OCRStyle1"/>
                    <w:ind w:left="2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דיני מדינת ישראל 3/ תשי"ז, עמ' 39; ס"ח 327, תשכ"א, עמ' 28.</w:t>
                  </w:r>
                </w:p>
                <w:p w:rsidR="00853C39" w:rsidRPr="00853C39" w:rsidRDefault="00853C39">
                  <w:pPr>
                    <w:pStyle w:val="OCRStyle1"/>
                    <w:ind w:left="426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37" o:spid="_x0000_s1027" type="#_x0000_t202" style="position:absolute;left:0;text-align:left;margin-left:107.1pt;margin-top:253.4pt;width:90.9pt;height:43.75pt;z-index:5;mso-position-horizontal-relative:page;mso-position-vertical-relative:page" stroked="f">
            <v:textbox style="mso-next-textbox:#_x0000_s15237" inset="0,0,0,0">
              <w:txbxContent>
                <w:p w:rsidR="00853C39" w:rsidRDefault="00853C39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853C39" w:rsidRDefault="00853C39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38" o:spid="_x0000_s1028" type="#_x0000_t202" style="position:absolute;left:0;text-align:left;margin-left:227.3pt;margin-top:257.75pt;width:85.55pt;height:36.85pt;z-index:4;mso-position-horizontal-relative:page;mso-position-vertical-relative:page" stroked="f">
            <v:textbox style="mso-next-textbox:#_x0000_s15238" inset="0,0,0,0">
              <w:txbxContent>
                <w:p w:rsidR="00853C39" w:rsidRDefault="00853C39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853C39" w:rsidRDefault="00853C39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39" o:spid="_x0000_s1029" type="#_x0000_t202" style="position:absolute;left:0;text-align:left;margin-left:346.3pt;margin-top:282.5pt;width:132.85pt;height:43.75pt;z-index:3;mso-position-horizontal-relative:page;mso-position-vertical-relative:page" stroked="f">
            <v:textbox style="mso-next-textbox:#_x0000_s15239" inset="0,0,0,0">
              <w:txbxContent>
                <w:p w:rsidR="00853C39" w:rsidRDefault="00853C39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853C39" w:rsidRDefault="00853C39">
                  <w:pPr>
                    <w:pStyle w:val="OCRStyle1"/>
                    <w:ind w:left="71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40" o:spid="_x0000_s1030" type="#_x0000_t202" style="position:absolute;left:0;text-align:left;margin-left:90.1pt;margin-top:118pt;width:457.8pt;height:126.15pt;z-index:2;mso-position-horizontal-relative:page;mso-position-vertical-relative:page" stroked="f">
            <v:textbox style="mso-next-textbox:#_x0000_s1524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78"/>
                    <w:gridCol w:w="1282"/>
                    <w:gridCol w:w="1363"/>
                  </w:tblGrid>
                  <w:tr w:rsidR="00853C39" w:rsidRPr="00853C39">
                    <w:trPr>
                      <w:jc w:val="right"/>
                    </w:trPr>
                    <w:tc>
                      <w:tcPr>
                        <w:tcW w:w="4181" w:type="pct"/>
                        <w:gridSpan w:val="2"/>
                      </w:tcPr>
                      <w:p w:rsidR="00853C39" w:rsidRPr="00853C39" w:rsidRDefault="00853C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בפקודת תעריף המכס והפטורים, 1937 1, במקום סעיף 3 יבואן</w:t>
                        </w:r>
                      </w:p>
                    </w:tc>
                    <w:tc>
                      <w:tcPr>
                        <w:tcW w:w="819" w:type="pct"/>
                      </w:tcPr>
                      <w:p w:rsidR="00853C39" w:rsidRPr="00853C39" w:rsidRDefault="00853C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</w:t>
                        </w:r>
                      </w:p>
                    </w:tc>
                  </w:tr>
                  <w:tr w:rsidR="00853C39">
                    <w:trPr>
                      <w:jc w:val="right"/>
                    </w:trPr>
                    <w:tc>
                      <w:tcPr>
                        <w:tcW w:w="3411" w:type="pct"/>
                        <w:vMerge w:val="restart"/>
                      </w:tcPr>
                      <w:p w:rsidR="00853C39" w:rsidRDefault="00853C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מכס יוטל על טובין שיובאו, בשיעורים שנקבעו בתוספת.</w:t>
                        </w:r>
                      </w:p>
                      <w:p w:rsidR="00853C39" w:rsidRDefault="00853C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לקבוע הוראות בדבר סיווג הטובין שנקבעו</w:t>
                        </w:r>
                      </w:p>
                      <w:p w:rsidR="00853C39" w:rsidRDefault="00853C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בתוספת, ובמידה שהוראות אלה באות לשם ביצוע אמנה בין-לאומית</w:t>
                        </w:r>
                      </w:p>
                      <w:p w:rsidR="00853C39" w:rsidRDefault="00853C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שישראל הצטרפה אליה, הן יהיו בנות-תוקף, אף אם יש בהן סטיה מהו-</w:t>
                        </w:r>
                      </w:p>
                      <w:p w:rsidR="00853C39" w:rsidRPr="00853C39" w:rsidRDefault="00853C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ראות סעיף 38 לפקודת הפרשנות."</w:t>
                        </w:r>
                      </w:p>
                    </w:tc>
                    <w:tc>
                      <w:tcPr>
                        <w:tcW w:w="770" w:type="pct"/>
                        <w:vMerge w:val="restart"/>
                      </w:tcPr>
                      <w:p w:rsidR="00853C39" w:rsidRPr="00853C39" w:rsidRDefault="00853C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"הטלת מגס</w:t>
                        </w:r>
                      </w:p>
                    </w:tc>
                    <w:tc>
                      <w:tcPr>
                        <w:tcW w:w="819" w:type="pct"/>
                      </w:tcPr>
                      <w:p w:rsidR="00853C39" w:rsidRDefault="00853C3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53C39">
                    <w:trPr>
                      <w:jc w:val="right"/>
                    </w:trPr>
                    <w:tc>
                      <w:tcPr>
                        <w:tcW w:w="3411" w:type="pct"/>
                        <w:vMerge/>
                      </w:tcPr>
                      <w:p w:rsidR="00853C39" w:rsidRDefault="00853C3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0" w:type="pct"/>
                        <w:vMerge/>
                      </w:tcPr>
                      <w:p w:rsidR="00853C39" w:rsidRDefault="00853C3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19" w:type="pct"/>
                      </w:tcPr>
                      <w:p w:rsidR="00853C39" w:rsidRDefault="00853C3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53C39" w:rsidRPr="00853C39">
                    <w:trPr>
                      <w:jc w:val="right"/>
                    </w:trPr>
                    <w:tc>
                      <w:tcPr>
                        <w:tcW w:w="4181" w:type="pct"/>
                        <w:gridSpan w:val="2"/>
                      </w:tcPr>
                      <w:p w:rsidR="00853C39" w:rsidRPr="00853C39" w:rsidRDefault="00853C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סעיפים 135 ו- 137 לפקודת המכס 2 - בטלים.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853C39" w:rsidRDefault="00853C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סעיפים</w:t>
                        </w:r>
                      </w:p>
                      <w:p w:rsidR="00853C39" w:rsidRPr="00853C39" w:rsidRDefault="00853C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בפקודת המכס</w:t>
                        </w:r>
                      </w:p>
                    </w:tc>
                  </w:tr>
                </w:tbl>
                <w:p w:rsidR="00853C39" w:rsidRDefault="00853C3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241" o:spid="_x0000_s1031" type="#_x0000_t202" style="position:absolute;left:0;text-align:left;margin-left:106.35pt;margin-top:79.35pt;width:354pt;height:31.9pt;z-index:1;mso-position-horizontal-relative:page;mso-position-vertical-relative:page" stroked="f">
            <v:textbox style="mso-next-textbox:#_x0000_s15241" inset="0,0,0,0">
              <w:txbxContent>
                <w:p w:rsidR="00853C39" w:rsidRPr="00853C39" w:rsidRDefault="00853C39">
                  <w:pPr>
                    <w:pStyle w:val="OCRStyle1"/>
                    <w:ind w:left="36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תעריף המכס והפטורים, תשכ"ה-1965*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53C3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3C3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77336F0-398A-42F0-8782-2A1C486DA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53C3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2008-04-09T14:31:00Z</dcterms:created>
  <dcterms:modified xsi:type="dcterms:W3CDTF">2008-04-09T14:31:00Z</dcterms:modified>
</cp:coreProperties>
</file>