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602DA6" w:rsidRDefault="00602DA6">
      <w:pPr>
        <w:rPr>
          <w:rtl/>
        </w:rPr>
      </w:pPr>
    </w:p>
    <w:p w:rsidR="00602DA6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5309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15309" inset="0,0,0,0">
              <w:txbxContent>
                <w:p w:rsidR="00602DA6" w:rsidRDefault="00602DA6">
                  <w:r>
                    <w:rPr>
                      <w:rtl/>
                    </w:rPr>
                    <w:t>45                                           ספר החוקים 200                   י' בניסן התשי"ו 22.03.1956</w:t>
                  </w:r>
                </w:p>
              </w:txbxContent>
            </v:textbox>
            <w10:wrap anchorx="page" anchory="page"/>
          </v:shape>
        </w:pict>
      </w:r>
      <w:r>
        <w:pict>
          <v:shape id="_x0000_s15310" o:spid="_x0000_s1026" type="#_x0000_t202" style="position:absolute;left:0;text-align:left;margin-left:163.7pt;margin-top:469.55pt;width:405.1pt;height:77.2pt;z-index:7;mso-position-horizontal-relative:page;mso-position-vertical-relative:page" stroked="f">
            <v:textbox style="mso-next-textbox:#_x0000_s15310" inset="0,0,0,0">
              <w:txbxContent>
                <w:p w:rsidR="00602DA6" w:rsidRDefault="00602DA6">
                  <w:pPr>
                    <w:pStyle w:val="OCRStyle1"/>
                    <w:ind w:left="335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ב' בניסן תשט"ז (14 במרס 1956) ; הצעת החוק ודברי הסבר נתפרסמו בה"ח</w:t>
                  </w:r>
                </w:p>
                <w:p w:rsidR="00602DA6" w:rsidRDefault="00602DA6">
                  <w:pPr>
                    <w:pStyle w:val="OCRStyle1"/>
                    <w:ind w:left="486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204, תשט"ז, עמ' 43.</w:t>
                  </w:r>
                </w:p>
                <w:p w:rsidR="00602DA6" w:rsidRDefault="00602DA6">
                  <w:pPr>
                    <w:pStyle w:val="OCRStyle1"/>
                    <w:ind w:left="328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ס"ח 22, תש"ט, עטי .187</w:t>
                  </w:r>
                </w:p>
                <w:p w:rsidR="00602DA6" w:rsidRDefault="00602DA6">
                  <w:pPr>
                    <w:pStyle w:val="OCRStyle1"/>
                    <w:ind w:left="328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 ע"ר 1017, תוס' 1, מס' 1604, עמ' .144</w:t>
                  </w:r>
                </w:p>
                <w:p w:rsidR="00602DA6" w:rsidRDefault="00602DA6">
                  <w:pPr>
                    <w:pStyle w:val="OCRStyle1"/>
                    <w:ind w:left="338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3 ס"ח 79' תשי"א, עמי .219</w:t>
                  </w:r>
                </w:p>
                <w:p w:rsidR="00602DA6" w:rsidRPr="00602DA6" w:rsidRDefault="00602DA6">
                  <w:pPr>
                    <w:pStyle w:val="OCRStyle1"/>
                    <w:ind w:left="356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4 ס"ח 104, תשי"ד, עמ' .192</w:t>
                  </w:r>
                </w:p>
              </w:txbxContent>
            </v:textbox>
            <w10:wrap anchorx="page" anchory="page"/>
          </v:shape>
        </w:pict>
      </w:r>
      <w:r>
        <w:pict>
          <v:shape id="_x0000_s15311" o:spid="_x0000_s1027" type="#_x0000_t202" style="position:absolute;left:0;text-align:left;margin-left:191.05pt;margin-top:392.35pt;width:94.45pt;height:41.8pt;z-index:6;mso-position-horizontal-relative:page;mso-position-vertical-relative:page" stroked="f">
            <v:textbox style="mso-next-textbox:#_x0000_s15311" inset="0,0,0,0">
              <w:txbxContent>
                <w:p w:rsidR="00602DA6" w:rsidRDefault="00602DA6">
                  <w:pPr>
                    <w:pStyle w:val="OCRStyle1"/>
                    <w:ind w:left="274"/>
                    <w:rPr>
                      <w:rtl/>
                    </w:rPr>
                  </w:pPr>
                  <w:r>
                    <w:rPr>
                      <w:rtl/>
                    </w:rPr>
                    <w:t>לוי אשכול</w:t>
                  </w:r>
                </w:p>
                <w:p w:rsidR="00602DA6" w:rsidRDefault="00602DA6">
                  <w:pPr>
                    <w:pStyle w:val="OCRStyle1"/>
                    <w:ind w:left="410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15312" o:spid="_x0000_s1028" type="#_x0000_t202" style="position:absolute;left:0;text-align:left;margin-left:313.6pt;margin-top:395.9pt;width:109.1pt;height:37.4pt;z-index:5;mso-position-horizontal-relative:page;mso-position-vertical-relative:page" stroked="f">
            <v:textbox style="mso-next-textbox:#_x0000_s15312" inset="0,0,0,0">
              <w:txbxContent>
                <w:p w:rsidR="00602DA6" w:rsidRDefault="00602DA6">
                  <w:pPr>
                    <w:pStyle w:val="OCRStyle1"/>
                    <w:ind w:left="94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602DA6" w:rsidRDefault="00602DA6">
                  <w:pPr>
                    <w:pStyle w:val="OCRStyle1"/>
                    <w:ind w:left="371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5313" o:spid="_x0000_s1029" type="#_x0000_t202" style="position:absolute;left:0;text-align:left;margin-left:441.7pt;margin-top:426.8pt;width:99pt;height:34.65pt;z-index:4;mso-position-horizontal-relative:page;mso-position-vertical-relative:page" stroked="f">
            <v:textbox style="mso-next-textbox:#_x0000_s15313" inset="0,0,0,0">
              <w:txbxContent>
                <w:p w:rsidR="00602DA6" w:rsidRDefault="00602DA6">
                  <w:pPr>
                    <w:pStyle w:val="OCRStyle1"/>
                    <w:ind w:left="83"/>
                    <w:rPr>
                      <w:rtl/>
                    </w:rPr>
                  </w:pPr>
                  <w:r>
                    <w:rPr>
                      <w:rtl/>
                    </w:rPr>
                    <w:t>יצחק בן-צבי</w:t>
                  </w:r>
                </w:p>
                <w:p w:rsidR="00602DA6" w:rsidRDefault="00602DA6">
                  <w:pPr>
                    <w:pStyle w:val="OCRStyle1"/>
                    <w:ind w:left="338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5314" o:spid="_x0000_s1030" type="#_x0000_t202" style="position:absolute;left:0;text-align:left;margin-left:93.8pt;margin-top:102.65pt;width:492.25pt;height:277.8pt;z-index:3;mso-position-horizontal-relative:page;mso-position-vertical-relative:page" stroked="f">
            <v:textbox style="mso-next-textbox:#_x0000_s15314" inset="0,0,0,0">
              <w:txbxContent>
                <w:tbl>
                  <w:tblPr>
                    <w:tblW w:w="444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405"/>
                    <w:gridCol w:w="6192"/>
                    <w:gridCol w:w="1353"/>
                  </w:tblGrid>
                  <w:tr w:rsidR="00602DA6" w:rsidRPr="00602DA6">
                    <w:trPr>
                      <w:jc w:val="right"/>
                    </w:trPr>
                    <w:tc>
                      <w:tcPr>
                        <w:tcW w:w="785" w:type="pct"/>
                        <w:vMerge w:val="restart"/>
                      </w:tcPr>
                      <w:p w:rsidR="00602DA6" w:rsidRDefault="00602DA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 וספת</w:t>
                        </w:r>
                      </w:p>
                      <w:p w:rsidR="00602DA6" w:rsidRPr="00602DA6" w:rsidRDefault="00602DA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סעיף 13א</w:t>
                        </w:r>
                      </w:p>
                    </w:tc>
                    <w:tc>
                      <w:tcPr>
                        <w:tcW w:w="4215" w:type="pct"/>
                        <w:gridSpan w:val="2"/>
                      </w:tcPr>
                      <w:p w:rsidR="00602DA6" w:rsidRPr="00602DA6" w:rsidRDefault="00602DA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1. בחוק מס עזבון, תש"ט-1949 1 (להלן - החוק)' לאחר סעיף 13 יווסף סעיף זה:</w:t>
                        </w:r>
                      </w:p>
                    </w:tc>
                  </w:tr>
                  <w:tr w:rsidR="00602DA6" w:rsidRPr="00602DA6">
                    <w:trPr>
                      <w:jc w:val="right"/>
                    </w:trPr>
                    <w:tc>
                      <w:tcPr>
                        <w:tcW w:w="785" w:type="pct"/>
                        <w:vMerge/>
                      </w:tcPr>
                      <w:p w:rsidR="00602DA6" w:rsidRDefault="00602DA6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59" w:type="pct"/>
                      </w:tcPr>
                      <w:p w:rsidR="00602DA6" w:rsidRDefault="00602DA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13א. על אף האמור בכל דין רשאי המנהל לדרוש מכל עובד ציבורי'</w:t>
                        </w:r>
                      </w:p>
                      <w:p w:rsidR="00602DA6" w:rsidRDefault="00602DA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למעט עובד החייב לשמור סוד לפי פקודת הסטטיסטיקה' 21947, לפי חוק</w:t>
                        </w:r>
                      </w:p>
                      <w:p w:rsidR="00602DA6" w:rsidRDefault="00602DA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בנק הדואר' תשי"א - 1951 3, או לפי חוק בנק ישראל' תשי"ד-1954 4,</w:t>
                        </w:r>
                      </w:p>
                      <w:p w:rsidR="00602DA6" w:rsidRDefault="00602DA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למסור לו כל ידיעה הדרושה לו' לדעתו, לשם ביצוע חוק זה."</w:t>
                        </w:r>
                      </w:p>
                    </w:tc>
                    <w:tc>
                      <w:tcPr>
                        <w:tcW w:w="756" w:type="pct"/>
                      </w:tcPr>
                      <w:p w:rsidR="00602DA6" w:rsidRDefault="00602DA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"ידיעות</w:t>
                        </w:r>
                      </w:p>
                      <w:p w:rsidR="00602DA6" w:rsidRPr="00602DA6" w:rsidRDefault="00602DA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רשמיות</w:t>
                        </w:r>
                      </w:p>
                    </w:tc>
                  </w:tr>
                  <w:tr w:rsidR="00602DA6" w:rsidRPr="00602DA6">
                    <w:trPr>
                      <w:jc w:val="right"/>
                    </w:trPr>
                    <w:tc>
                      <w:tcPr>
                        <w:tcW w:w="785" w:type="pct"/>
                      </w:tcPr>
                      <w:p w:rsidR="00602DA6" w:rsidRPr="00602DA6" w:rsidRDefault="00602DA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החלפת סעיף 33</w:t>
                        </w:r>
                      </w:p>
                    </w:tc>
                    <w:tc>
                      <w:tcPr>
                        <w:tcW w:w="4215" w:type="pct"/>
                        <w:gridSpan w:val="2"/>
                      </w:tcPr>
                      <w:p w:rsidR="00602DA6" w:rsidRPr="00602DA6" w:rsidRDefault="00602DA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במקום סעיף 33 לחוק יבוא סעיף זה:</w:t>
                        </w:r>
                      </w:p>
                    </w:tc>
                  </w:tr>
                  <w:tr w:rsidR="00602DA6" w:rsidRPr="00602DA6">
                    <w:trPr>
                      <w:jc w:val="right"/>
                    </w:trPr>
                    <w:tc>
                      <w:tcPr>
                        <w:tcW w:w="785" w:type="pct"/>
                      </w:tcPr>
                      <w:p w:rsidR="00602DA6" w:rsidRDefault="00602DA6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59" w:type="pct"/>
                      </w:tcPr>
                      <w:p w:rsidR="00602DA6" w:rsidRDefault="00602DA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33. (א) לא יגלה אדם ידיעה שנמסרה לו אגב ביצוע חוק זה ולא יראה</w:t>
                        </w:r>
                      </w:p>
                      <w:p w:rsidR="00602DA6" w:rsidRDefault="00602DA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מסמך שהוגש לו לפי חוק זה' אלא לשם ביצוע הוראות חוק זה או כדי</w:t>
                        </w:r>
                      </w:p>
                      <w:p w:rsidR="00602DA6" w:rsidRDefault="00602DA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להאשים אדם בעבירה שעבר בקשר למס עזבון.</w:t>
                        </w:r>
                      </w:p>
                      <w:p w:rsidR="00602DA6" w:rsidRDefault="00602DA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על אף האמור בסעיף קטן (א) מותר לגלות שומתם של נכסי עזבון</w:t>
                        </w:r>
                      </w:p>
                      <w:p w:rsidR="00602DA6" w:rsidRDefault="00602DA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שנעשתה לצורך חוק זה למי שתפקידו לקבוע אגרות בית משפט בהלי-</w:t>
                        </w:r>
                      </w:p>
                      <w:p w:rsidR="00602DA6" w:rsidRDefault="00602DA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כים הקשורים בעזבון או אגרות החלות על העברת מקרקעין מהעזבון;</w:t>
                        </w:r>
                      </w:p>
                      <w:p w:rsidR="00602DA6" w:rsidRDefault="00602DA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 שגילו לו שומה כאמור' לא יגלנה אלא לבית משפט ולצדדים שבהליך</w:t>
                        </w:r>
                      </w:p>
                      <w:p w:rsidR="00602DA6" w:rsidRDefault="00602DA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שבהעברה.</w:t>
                        </w:r>
                      </w:p>
                      <w:p w:rsidR="00602DA6" w:rsidRDefault="00602DA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העובר על הוראות סעיף זה' דינו - מאסר ששה חדשים או קנס</w:t>
                        </w:r>
                      </w:p>
                      <w:p w:rsidR="00602DA6" w:rsidRDefault="00602DA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אלפיים וחמש מאות לירות או שני הענשים כאחד."</w:t>
                        </w:r>
                      </w:p>
                    </w:tc>
                    <w:tc>
                      <w:tcPr>
                        <w:tcW w:w="756" w:type="pct"/>
                      </w:tcPr>
                      <w:p w:rsidR="00602DA6" w:rsidRPr="00602DA6" w:rsidRDefault="00602DA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rtl/>
                          </w:rPr>
                          <w:t>"סוריות</w:t>
                        </w:r>
                      </w:p>
                    </w:tc>
                  </w:tr>
                </w:tbl>
                <w:p w:rsidR="00602DA6" w:rsidRDefault="00602DA6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5315" o:spid="_x0000_s1031" type="#_x0000_t202" style="position:absolute;left:0;text-align:left;margin-left:100.15pt;margin-top:54.55pt;width:72.65pt;height:28.9pt;z-index:2;mso-position-horizontal-relative:page;mso-position-vertical-relative:page" stroked="f">
            <v:textbox style="mso-next-textbox:#_x0000_s15315" inset="0,0,0,0">
              <w:txbxContent>
                <w:p w:rsidR="00602DA6" w:rsidRDefault="00602DA6">
                  <w:pPr>
                    <w:pStyle w:val="OCRStyle1"/>
                    <w:ind w:left="144"/>
                  </w:pPr>
                  <w:r>
                    <w:rPr>
                      <w:rtl/>
                    </w:rPr>
                    <w:t>מספר 29</w:t>
                  </w:r>
                </w:p>
              </w:txbxContent>
            </v:textbox>
            <w10:wrap anchorx="page" anchory="page"/>
          </v:shape>
        </w:pict>
      </w:r>
      <w:r>
        <w:pict>
          <v:shape id="_x0000_s15316" o:spid="_x0000_s1032" type="#_x0000_t202" style="position:absolute;left:0;text-align:left;margin-left:259.15pt;margin-top:67.2pt;width:226.1pt;height:31.7pt;z-index:1;mso-position-horizontal-relative:page;mso-position-vertical-relative:page" stroked="f">
            <v:textbox style="mso-next-textbox:#_x0000_s15316" inset="0,0,0,0">
              <w:txbxContent>
                <w:p w:rsidR="00602DA6" w:rsidRPr="00602DA6" w:rsidRDefault="00602DA6">
                  <w:pPr>
                    <w:pStyle w:val="OCRStyle1"/>
                    <w:ind w:left="94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  <w:rtl/>
                    </w:rPr>
                    <w:t>חוק מס עזבון (תיקון)י תשט"ז-1956*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602DA6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02DA6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994DA2AB-C20C-4870-813C-3F819B6804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602DA6"/>
    <w:rPr>
      <w:rFonts w:ascii="Arial" w:hAnsi="Arial" w:cs="Arial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4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2008-04-06T19:00:00Z</dcterms:created>
  <dcterms:modified xsi:type="dcterms:W3CDTF">2008-04-06T19:00:00Z</dcterms:modified>
</cp:coreProperties>
</file>