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B0E1C" w:rsidRDefault="000B0E1C">
      <w:pPr>
        <w:rPr>
          <w:rtl/>
        </w:rPr>
      </w:pPr>
    </w:p>
    <w:p w:rsidR="000B0E1C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5366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5366" inset="0,0,0,0">
              <w:txbxContent>
                <w:p w:rsidR="000B0E1C" w:rsidRDefault="000B0E1C">
                  <w:r>
                    <w:rPr>
                      <w:rtl/>
                    </w:rPr>
                    <w:t>190                                          ספר החוקים 565                     ב' באב התשכ"ט 17.07.1969</w:t>
                  </w:r>
                </w:p>
              </w:txbxContent>
            </v:textbox>
            <w10:wrap anchorx="page" anchory="page"/>
          </v:shape>
        </w:pict>
      </w:r>
      <w:r>
        <w:pict>
          <v:shape id="_x0000_s15367" o:spid="_x0000_s1026" type="#_x0000_t202" style="position:absolute;left:0;text-align:left;margin-left:88.55pt;margin-top:585.65pt;width:382.15pt;height:157.6pt;z-index:6;mso-position-horizontal-relative:page;mso-position-vertical-relative:page" stroked="f">
            <v:textbox style="mso-next-textbox:#_x0000_s15367" inset="0,0,0,0">
              <w:txbxContent>
                <w:p w:rsidR="000B0E1C" w:rsidRDefault="000B0E1C">
                  <w:pPr>
                    <w:pStyle w:val="OCRStyle1"/>
                    <w:ind w:left="19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כ"א בתמוז תשכ"ט (7 ביולי 1969); הצעת החוק ודברי הסבר פורסמו בה"ח 824, תשכ"ט,</w:t>
                  </w:r>
                </w:p>
                <w:p w:rsidR="000B0E1C" w:rsidRDefault="000B0E1C">
                  <w:pPr>
                    <w:pStyle w:val="OCRStyle1"/>
                    <w:ind w:left="30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עמי 158.</w:t>
                  </w:r>
                </w:p>
                <w:p w:rsidR="000B0E1C" w:rsidRDefault="000B0E1C">
                  <w:pPr>
                    <w:pStyle w:val="OCRStyle1"/>
                    <w:ind w:left="19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ס''ח תש"ט, עמי 187; תשט"ז, עמ' 45; תשי"ז, עמ' 143; תשכ"ד, עמ' 179.</w:t>
                  </w:r>
                </w:p>
                <w:p w:rsidR="000B0E1C" w:rsidRPr="000B0E1C" w:rsidRDefault="000B0E1C">
                  <w:pPr>
                    <w:pStyle w:val="OCRStyle1"/>
                    <w:ind w:left="408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הודפס ע"י המדפיס הממשלתי,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5368" o:spid="_x0000_s1027" type="#_x0000_t202" style="position:absolute;left:0;text-align:left;margin-left:111.75pt;margin-top:258.55pt;width:77.6pt;height:41.4pt;z-index:5;mso-position-horizontal-relative:page;mso-position-vertical-relative:page" stroked="f">
            <v:textbox style="mso-next-textbox:#_x0000_s15368" inset="0,0,0,0">
              <w:txbxContent>
                <w:p w:rsidR="000B0E1C" w:rsidRDefault="000B0E1C">
                  <w:pPr>
                    <w:pStyle w:val="OCRStyle1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זאב שרף</w:t>
                  </w:r>
                </w:p>
                <w:p w:rsidR="000B0E1C" w:rsidRDefault="000B0E1C">
                  <w:pPr>
                    <w:pStyle w:val="OCRStyle1"/>
                    <w:ind w:left="223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5369" o:spid="_x0000_s1028" type="#_x0000_t202" style="position:absolute;left:0;text-align:left;margin-left:237.45pt;margin-top:255.95pt;width:90.5pt;height:43.95pt;z-index:4;mso-position-horizontal-relative:page;mso-position-vertical-relative:page" stroked="f">
            <v:textbox style="mso-next-textbox:#_x0000_s15369" inset="0,0,0,0">
              <w:txbxContent>
                <w:p w:rsidR="000B0E1C" w:rsidRDefault="000B0E1C">
                  <w:pPr>
                    <w:pStyle w:val="OCRStyle1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0B0E1C" w:rsidRDefault="000B0E1C">
                  <w:pPr>
                    <w:pStyle w:val="OCRStyle1"/>
                    <w:ind w:left="28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5370" o:spid="_x0000_s1029" type="#_x0000_t202" style="position:absolute;left:0;text-align:left;margin-left:364.95pt;margin-top:291.2pt;width:125.55pt;height:47.5pt;z-index:3;mso-position-horizontal-relative:page;mso-position-vertical-relative:page" stroked="f">
            <v:textbox style="mso-next-textbox:#_x0000_s15370" inset="0,0,0,0">
              <w:txbxContent>
                <w:p w:rsidR="000B0E1C" w:rsidRDefault="000B0E1C">
                  <w:pPr>
                    <w:pStyle w:val="OCRStyle1"/>
                    <w:ind w:left="342"/>
                    <w:rPr>
                      <w:rtl/>
                    </w:rPr>
                  </w:pPr>
                  <w:r>
                    <w:rPr>
                      <w:rtl/>
                    </w:rPr>
                    <w:t>שביאור זלמן שזר</w:t>
                  </w:r>
                </w:p>
                <w:p w:rsidR="000B0E1C" w:rsidRDefault="000B0E1C">
                  <w:pPr>
                    <w:pStyle w:val="OCRStyle1"/>
                    <w:ind w:left="803"/>
                  </w:pPr>
                  <w:r>
                    <w:rPr>
                      <w:rtl/>
                    </w:rPr>
                    <w:t>בשיא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5371" o:spid="_x0000_s1030" type="#_x0000_t202" style="position:absolute;left:0;text-align:left;margin-left:80.85pt;margin-top:101.1pt;width:471.65pt;height:113.65pt;z-index:2;mso-position-horizontal-relative:page;mso-position-vertical-relative:page" stroked="f">
            <v:textbox style="mso-next-textbox:#_x0000_s15371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25"/>
                    <w:gridCol w:w="1153"/>
                  </w:tblGrid>
                  <w:tr w:rsidR="000B0E1C" w:rsidRPr="000B0E1C">
                    <w:trPr>
                      <w:jc w:val="right"/>
                    </w:trPr>
                    <w:tc>
                      <w:tcPr>
                        <w:tcW w:w="4328" w:type="pct"/>
                      </w:tcPr>
                      <w:p w:rsidR="000B0E1C" w:rsidRDefault="000B0E1C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1, בסעיף 2ג (א) (2) (א) לחוק מס עזבון, תש"ט-1949  1(להלן - החוק העיקרי), במקום</w:t>
                        </w:r>
                      </w:p>
                      <w:p w:rsidR="000B0E1C" w:rsidRPr="000B0E1C" w:rsidRDefault="000B0E1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"בשל בל ילדיו יחד" יבוא "בשל כל ילד",</w:t>
                        </w:r>
                      </w:p>
                    </w:tc>
                    <w:tc>
                      <w:tcPr>
                        <w:tcW w:w="672" w:type="pct"/>
                      </w:tcPr>
                      <w:p w:rsidR="000B0E1C" w:rsidRPr="000B0E1C" w:rsidRDefault="000B0E1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2ג</w:t>
                        </w:r>
                      </w:p>
                    </w:tc>
                  </w:tr>
                  <w:tr w:rsidR="000B0E1C" w:rsidRPr="000B0E1C">
                    <w:trPr>
                      <w:jc w:val="right"/>
                    </w:trPr>
                    <w:tc>
                      <w:tcPr>
                        <w:tcW w:w="4328" w:type="pct"/>
                      </w:tcPr>
                      <w:p w:rsidR="000B0E1C" w:rsidRPr="000B0E1C" w:rsidRDefault="000B0E1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 .בסעיף 13ג (ב) לחוק העיקרי, במקום "ושופט שלום" יבוא "ושופט בית משפט שלום".</w:t>
                        </w:r>
                      </w:p>
                    </w:tc>
                    <w:tc>
                      <w:tcPr>
                        <w:tcW w:w="672" w:type="pct"/>
                      </w:tcPr>
                      <w:p w:rsidR="000B0E1C" w:rsidRPr="000B0E1C" w:rsidRDefault="000B0E1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13ג</w:t>
                        </w:r>
                      </w:p>
                    </w:tc>
                  </w:tr>
                  <w:tr w:rsidR="000B0E1C" w:rsidRPr="000B0E1C">
                    <w:trPr>
                      <w:jc w:val="right"/>
                    </w:trPr>
                    <w:tc>
                      <w:tcPr>
                        <w:tcW w:w="4328" w:type="pct"/>
                      </w:tcPr>
                      <w:p w:rsidR="000B0E1C" w:rsidRDefault="000B0E1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סעיף 2ג (א) (2) (א) לחוק העיקרי כפי שתוקן בחוק זה יחול גם לגבי בכסי עזבון של</w:t>
                        </w:r>
                      </w:p>
                      <w:p w:rsidR="000B0E1C" w:rsidRPr="000B0E1C" w:rsidRDefault="000B0E1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 שנפטר לפני תחילתו של חוק זה אם טרם ניתן צו עזבון.</w:t>
                        </w:r>
                      </w:p>
                    </w:tc>
                    <w:tc>
                      <w:tcPr>
                        <w:tcW w:w="672" w:type="pct"/>
                      </w:tcPr>
                      <w:p w:rsidR="000B0E1C" w:rsidRPr="000B0E1C" w:rsidRDefault="000B0E1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תחולה</w:t>
                        </w:r>
                      </w:p>
                    </w:tc>
                  </w:tr>
                </w:tbl>
                <w:p w:rsidR="000B0E1C" w:rsidRDefault="000B0E1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5372" o:spid="_x0000_s1031" type="#_x0000_t202" style="position:absolute;left:0;text-align:left;margin-left:159.05pt;margin-top:75.2pt;width:248.9pt;height:24.15pt;z-index:1;mso-position-horizontal-relative:page;mso-position-vertical-relative:page" stroked="f">
            <v:textbox style="mso-next-textbox:#_x0000_s15372" inset="0,0,0,0">
              <w:txbxContent>
                <w:p w:rsidR="000B0E1C" w:rsidRPr="000B0E1C" w:rsidRDefault="000B0E1C">
                  <w:pPr>
                    <w:pStyle w:val="OCRStyle1"/>
                    <w:ind w:left="148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מס עזבון (תיקון מס' 4), תשכ"ט-1969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0B0E1C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B0E1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A288CD5-DFF7-493B-9381-727C9702D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0B0E1C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2008-04-06T21:13:00Z</dcterms:created>
  <dcterms:modified xsi:type="dcterms:W3CDTF">2008-04-06T21:13:00Z</dcterms:modified>
</cp:coreProperties>
</file>