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6DB3" w:rsidRDefault="00086DB3">
      <w:pPr>
        <w:rPr>
          <w:rtl/>
        </w:rPr>
      </w:pPr>
    </w:p>
    <w:p w:rsidR="00086D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381" inset="0,0,0,0">
              <w:txbxContent>
                <w:p w:rsidR="0011577D" w:rsidRDefault="0011577D">
                  <w:r>
                    <w:rPr>
                      <w:rtl/>
                    </w:rPr>
                    <w:t>79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2" o:spid="_x0000_s1026" type="#_x0000_t202" style="position:absolute;left:0;text-align:left;margin-left:144.65pt;margin-top:667.4pt;width:397pt;height:88.7pt;z-index:3;mso-position-horizontal-relative:page;mso-position-vertical-relative:page" stroked="f">
            <v:textbox style="mso-next-textbox:#_x0000_s15382" inset="0,0,0,0">
              <w:txbxContent>
                <w:p w:rsidR="0011577D" w:rsidRDefault="0011577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תשל"ו (30 בדצמבר 1975); הצעת החוק ודברי הסבר פורסמו בה"ח 1202, תשל"ה,</w:t>
                  </w:r>
                </w:p>
                <w:p w:rsidR="0011577D" w:rsidRDefault="0011577D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עמ' 435.</w:t>
                  </w:r>
                </w:p>
                <w:p w:rsidR="0011577D" w:rsidRDefault="0011577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ס''ח תש"ט, עמ' 187; תשט"ז, עמ' 45; תשי''ז, עמ' 143; תשכ"ד, עמ' 178; תשכ''ט, עמ' 100; תשל"ה, עמ' 232.</w:t>
                  </w:r>
                </w:p>
                <w:p w:rsidR="0011577D" w:rsidRPr="00086DB3" w:rsidRDefault="0011577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2 ס''ח תשל"ה,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3" o:spid="_x0000_s1027" type="#_x0000_t202" style="position:absolute;left:0;text-align:left;margin-left:85.85pt;margin-top:117.75pt;width:468.25pt;height:544.5pt;z-index:2;mso-position-horizontal-relative:page;mso-position-vertical-relative:page" stroked="f">
            <v:textbox style="mso-next-textbox:#_x0000_s15383" inset="0,0,0,0">
              <w:txbxContent>
                <w:tbl>
                  <w:tblPr>
                    <w:tblW w:w="42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5319"/>
                    <w:gridCol w:w="1663"/>
                  </w:tblGrid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2ב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11577D" w:rsidRDefault="0011577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2כ לחוק מס עזבון, תש"ט-1949  1(להלן - החוק העיקרי), בפסקה (3),</w:t>
                        </w:r>
                      </w:p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"10,000 לירות" יבוא "60.000 לירות".</w:t>
                        </w:r>
                      </w:p>
                    </w:tc>
                  </w:tr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2ג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2ג (א) לחוק העיקרי -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"25,000 לירות" יברא "100,000 לירות";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 (א), במקום "15,000 לירות" יבוא בכל מקום "60,000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לירות";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 (ב), כמקום "10,000 לירות" יבוא "40,000 לירות";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(2) (ג), במקום "17,500 לירות" יבוא "60,500 לירות" ובמקום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"22,500 לירות" יבוא "80,500 לירות";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(3), במקום "5,000 לירות" יבוא "20,000 לירות" ובמקום</w:t>
                        </w:r>
                      </w:p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"10,000 לירות" יבוא "40,000 לירות".</w:t>
                        </w:r>
                      </w:p>
                    </w:tc>
                  </w:tr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2ד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2ד לחוק העיקרי יבוא:</w:t>
                        </w:r>
                      </w:p>
                    </w:tc>
                  </w:tr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1" w:type="pct"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2ד. אלה שיעורי מס העזבון;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מ-105,000 לירות הראשונות - 5%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מ-105,000 לירות נוספות - 10%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מ-120,000 לירות נוספות - 15%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מ-135,000 לירות נוספות - 20%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כגל חלק מ-135.000 לירות נוספות - 25%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מ-150,000 לירות נוספות - 30%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מ-150,000 לירות נוספות - 35%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הלק מ-300,000 לירות נוטפות - 40%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מ-300,000 לירות נוספות - 45%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הלק מ-750,000 לירות נוספות - 50%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מ-750,000 לירות נוספות - 55%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סכום נוסף - 60%."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''שיעורי מס עזבון</w:t>
                        </w:r>
                      </w:p>
                    </w:tc>
                  </w:tr>
                  <w:tr w:rsidR="0011577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5א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5א לחוק העיקרי, במקום "150,000 לירות" יבוא בכל מקום "450,000 לירות"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וכמקום "50,000 לירות" יבוא "150,000 לירות".</w:t>
                        </w:r>
                      </w:p>
                    </w:tc>
                  </w:tr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 (ב) לחוק העיקרי, במקום "6,000 לירות" יבוא "25,000 לירות".</w:t>
                        </w:r>
                      </w:p>
                    </w:tc>
                  </w:tr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  <w:vMerge w:val="restart"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(תיקון</w:t>
                        </w:r>
                      </w:p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5)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מס עזבון (תיקון מס' 5), תשל"ה-1975 2, אחרי סעיף 3 יבוא:</w:t>
                        </w:r>
                      </w:p>
                    </w:tc>
                  </w:tr>
                  <w:tr w:rsidR="0011577D" w:rsidRPr="00086DB3">
                    <w:trPr>
                      <w:jc w:val="right"/>
                    </w:trPr>
                    <w:tc>
                      <w:tcPr>
                        <w:tcW w:w="746" w:type="pct"/>
                        <w:vMerge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1" w:type="pct"/>
                      </w:tcPr>
                      <w:p w:rsidR="0011577D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סעיפים 2 ו-3 יחולו בין אם הפגיעה אירעה לפני תחילתו</w:t>
                        </w:r>
                      </w:p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ובין אם אחריה."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11577D" w:rsidRPr="00086DB3" w:rsidRDefault="00115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</w:tr>
                </w:tbl>
                <w:p w:rsidR="0011577D" w:rsidRDefault="001157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84" o:spid="_x0000_s1028" type="#_x0000_t202" style="position:absolute;left:0;text-align:left;margin-left:215.95pt;margin-top:85.9pt;width:264.9pt;height:28.7pt;z-index:1;mso-position-horizontal-relative:page;mso-position-vertical-relative:page" stroked="f">
            <v:textbox style="mso-next-textbox:#_x0000_s15384" inset="0,0,0,0">
              <w:txbxContent>
                <w:p w:rsidR="0011577D" w:rsidRPr="00086DB3" w:rsidRDefault="0011577D">
                  <w:pPr>
                    <w:pStyle w:val="OCRStyle1"/>
                    <w:ind w:left="30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עזבון (תיקון מס' 6), תשל"ו-1975 *</w:t>
                  </w:r>
                </w:p>
              </w:txbxContent>
            </v:textbox>
            <w10:wrap anchorx="page" anchory="page"/>
          </v:shape>
        </w:pict>
      </w:r>
    </w:p>
    <w:p w:rsidR="0011577D" w:rsidRDefault="0011577D">
      <w:pPr>
        <w:rPr>
          <w:rtl/>
        </w:rPr>
      </w:pPr>
      <w:r>
        <w:rPr>
          <w:rtl/>
        </w:rPr>
        <w:br w:type="page"/>
      </w:r>
    </w:p>
    <w:p w:rsidR="0011577D" w:rsidRDefault="00000000">
      <w:pPr>
        <w:rPr>
          <w:rtl/>
        </w:rPr>
      </w:pPr>
      <w:r>
        <w:pict>
          <v:shape id="_x0000_s1538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385" inset="0,0,0,0">
              <w:txbxContent>
                <w:p w:rsidR="0011577D" w:rsidRDefault="0011577D">
                  <w:r>
                    <w:rPr>
                      <w:rtl/>
                    </w:rPr>
                    <w:t>80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6" o:spid="_x0000_s1030" type="#_x0000_t202" style="position:absolute;left:0;text-align:left;margin-left:97pt;margin-top:140.65pt;width:129.5pt;height:28.3pt;z-index:8;mso-position-horizontal-relative:page;mso-position-vertical-relative:page" stroked="f">
            <v:textbox style="mso-next-textbox:#_x0000_s15386" inset="0,0,0,0">
              <w:txbxContent>
                <w:p w:rsidR="0011577D" w:rsidRDefault="0011577D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11577D" w:rsidRDefault="0011577D">
                  <w:pPr>
                    <w:pStyle w:val="OCRStyle2"/>
                    <w:ind w:left="8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7" o:spid="_x0000_s1031" type="#_x0000_t202" style="position:absolute;left:0;text-align:left;margin-left:238.4pt;margin-top:141.65pt;width:94.45pt;height:38.4pt;z-index:7;mso-position-horizontal-relative:page;mso-position-vertical-relative:page" stroked="f">
            <v:textbox style="mso-next-textbox:#_x0000_s15387" inset="0,0,0,0">
              <w:txbxContent>
                <w:p w:rsidR="0011577D" w:rsidRDefault="0011577D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1577D" w:rsidRDefault="0011577D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8" o:spid="_x0000_s1032" type="#_x0000_t202" style="position:absolute;left:0;text-align:left;margin-left:380.75pt;margin-top:165.6pt;width:101.95pt;height:41.2pt;z-index:6;mso-position-horizontal-relative:page;mso-position-vertical-relative:page" stroked="f">
            <v:textbox style="mso-next-textbox:#_x0000_s15388" inset="0,0,0,0">
              <w:txbxContent>
                <w:p w:rsidR="0011577D" w:rsidRDefault="0011577D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1577D" w:rsidRDefault="0011577D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9" o:spid="_x0000_s1033" type="#_x0000_t202" style="position:absolute;left:0;text-align:left;margin-left:88.5pt;margin-top:89.15pt;width:461.95pt;height:44.75pt;z-index:5;mso-position-horizontal-relative:page;mso-position-vertical-relative:page" stroked="f">
            <v:textbox style="mso-next-textbox:#_x0000_s153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6"/>
                    <w:gridCol w:w="1074"/>
                  </w:tblGrid>
                  <w:tr w:rsidR="0011577D" w:rsidRPr="0011577D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11577D" w:rsidRDefault="001157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סעיפים 2ב, 2ג, 2ד, 5א ו-10 לחוק העיקרי כנוסחם לפי חוק זה יחולו לגבי בכסי</w:t>
                        </w:r>
                      </w:p>
                      <w:p w:rsidR="0011577D" w:rsidRDefault="001157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של מי שנפטר לאחר יום י"ט בניסן תשל"ה (31 במרס 1975).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11577D" w:rsidRPr="0011577D" w:rsidRDefault="001157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11577D" w:rsidRDefault="0011577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6D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91D818-527D-4DBB-9300-B20F0024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6D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1577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2008-04-06T22:36:00Z</dcterms:created>
  <dcterms:modified xsi:type="dcterms:W3CDTF">2008-04-06T22:36:00Z</dcterms:modified>
</cp:coreProperties>
</file>