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0B15" w:rsidRDefault="00B40B15">
      <w:pPr>
        <w:rPr>
          <w:rtl/>
        </w:rPr>
      </w:pPr>
    </w:p>
    <w:p w:rsidR="00B40B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48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485" inset="0,0,0,0">
              <w:txbxContent>
                <w:p w:rsidR="00122165" w:rsidRDefault="00122165">
                  <w:r>
                    <w:rPr>
                      <w:rtl/>
                    </w:rPr>
                    <w:t>83                                           ספר החוקים 278                   א' בניסן התשי"ט 09.04.1959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86" o:spid="_x0000_s1026" type="#_x0000_t202" style="position:absolute;left:0;text-align:left;margin-left:149.4pt;margin-top:663.8pt;width:398.55pt;height:83.95pt;z-index:3;mso-position-horizontal-relative:page;mso-position-vertical-relative:page" stroked="f">
            <v:textbox style="mso-next-textbox:#_x0000_s15486" inset="0,0,0,0">
              <w:txbxContent>
                <w:p w:rsidR="00122165" w:rsidRDefault="00122165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בי תשי''ט (1 באפריל 1959); הצעת החוק ודברי הסבר נתפרסמו בה"ח 370, תשי''ט,</w:t>
                  </w:r>
                </w:p>
                <w:p w:rsidR="00122165" w:rsidRDefault="00122165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עמ' 132.</w:t>
                  </w:r>
                </w:p>
                <w:p w:rsidR="00122165" w:rsidRDefault="00122165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1 חוקי א"י, כרך ב', פרק קל"ג, עמ' 13</w:t>
                  </w:r>
                  <w:r>
                    <w:t>x2.</w:t>
                  </w:r>
                </w:p>
                <w:p w:rsidR="00122165" w:rsidRPr="00B40B15" w:rsidRDefault="00122165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2 ק"ת 581, תשט"ז, עמ' 472.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87" o:spid="_x0000_s1027" type="#_x0000_t202" style="position:absolute;left:0;text-align:left;margin-left:96.15pt;margin-top:468.15pt;width:449.25pt;height:193.05pt;z-index:2;mso-position-horizontal-relative:page;mso-position-vertical-relative:page" stroked="f">
            <v:textbox style="mso-next-textbox:#_x0000_s1548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7"/>
                    <w:gridCol w:w="7012"/>
                  </w:tblGrid>
                  <w:tr w:rsidR="00122165" w:rsidRPr="00B40B15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122165" w:rsidRPr="00B40B1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12216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74 (5) לפלודת מס הבולים 1  (להלן-הפקודה), בפסקאות (ב) ו-(ד), במקום</w:t>
                        </w:r>
                      </w:p>
                      <w:p w:rsidR="00122165" w:rsidRPr="00B40B1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 האוצר" יבוא "שר האוצר או מי שהוסמך על ידיו לצורך זה".</w:t>
                        </w:r>
                      </w:p>
                    </w:tc>
                  </w:tr>
                  <w:tr w:rsidR="00122165" w:rsidRPr="00B40B15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122165" w:rsidRPr="00B40B1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12216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בתוספת לפקודה -</w:t>
                        </w:r>
                      </w:p>
                      <w:p w:rsidR="0012216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בפרט 23, במקום "יהא המס ארבעה למאה מסכומה" יבוא "יהא המס</w:t>
                        </w:r>
                      </w:p>
                      <w:p w:rsidR="0012216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וחצי למאה מסכומה";</w:t>
                        </w:r>
                      </w:p>
                      <w:p w:rsidR="0012216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בפרט 32, בפסקה (3ב), במקום "אותו המס שהיה משתלם על אותה העברה</w:t>
                        </w:r>
                      </w:p>
                      <w:p w:rsidR="0012216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העברת קרקעות (אגרות)' 1939, אילו ביצעה המורשה, בהתאם</w:t>
                        </w:r>
                      </w:p>
                      <w:p w:rsidR="0012216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להרשאה, ביום מתן ההרשאה, אם אותה העברה לא פוטרה מתשלום אגרה לפי</w:t>
                        </w:r>
                      </w:p>
                      <w:p w:rsidR="0012216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האמורות" יבוא "מס בשיעור האגרה שהיתה משתלמת על אותה העברה</w:t>
                        </w:r>
                      </w:p>
                      <w:p w:rsidR="0012216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העברת מקרקעין (אגרות)' תשט"ז-21956, אילו ביצעה המורשה</w:t>
                        </w:r>
                      </w:p>
                      <w:p w:rsidR="0012216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להרשאה ביום נתינתה בתוספת 121/2% מאותה אגרה; והוא, כשאותה</w:t>
                        </w:r>
                      </w:p>
                      <w:p w:rsidR="00122165" w:rsidRPr="00B40B15" w:rsidRDefault="001221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אינה פטורה מתשלום אגרה";</w:t>
                        </w:r>
                      </w:p>
                    </w:tc>
                  </w:tr>
                  <w:tr w:rsidR="00122165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122165" w:rsidRDefault="0012216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2" w:type="pct"/>
                      </w:tcPr>
                      <w:p w:rsidR="00122165" w:rsidRDefault="0012216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22165" w:rsidRDefault="0012216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488" o:spid="_x0000_s1028" type="#_x0000_t202" style="position:absolute;left:0;text-align:left;margin-left:206.8pt;margin-top:446.6pt;width:281.15pt;height:15.85pt;z-index:1;mso-position-horizontal-relative:page;mso-position-vertical-relative:page" stroked="f">
            <v:textbox style="mso-next-textbox:#_x0000_s15488" inset="0,0,0,0">
              <w:txbxContent>
                <w:p w:rsidR="00122165" w:rsidRPr="00B40B15" w:rsidRDefault="00122165">
                  <w:pPr>
                    <w:pStyle w:val="OCRStyle1"/>
                    <w:ind w:left="16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הבולים, תשי"ט-1959*</w:t>
                  </w:r>
                </w:p>
              </w:txbxContent>
            </v:textbox>
            <w10:wrap anchorx="page" anchory="page"/>
          </v:shape>
        </w:pict>
      </w:r>
    </w:p>
    <w:p w:rsidR="00122165" w:rsidRDefault="00122165">
      <w:pPr>
        <w:rPr>
          <w:rtl/>
        </w:rPr>
      </w:pPr>
      <w:r>
        <w:rPr>
          <w:rtl/>
        </w:rPr>
        <w:br w:type="page"/>
      </w:r>
    </w:p>
    <w:p w:rsidR="00122165" w:rsidRDefault="00000000">
      <w:pPr>
        <w:rPr>
          <w:rtl/>
        </w:rPr>
      </w:pPr>
      <w:r>
        <w:pict>
          <v:shape id="_x0000_s1548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5489" inset="0,0,0,0">
              <w:txbxContent>
                <w:p w:rsidR="00122165" w:rsidRDefault="00122165">
                  <w:r>
                    <w:rPr>
                      <w:rtl/>
                    </w:rPr>
                    <w:t>84                                           ספר החוקים 278                   א' בניסן התשי"ט 09.04.1959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90" o:spid="_x0000_s1030" type="#_x0000_t202" style="position:absolute;left:0;text-align:left;margin-left:94.65pt;margin-top:175.15pt;width:90.7pt;height:38.4pt;z-index:8;mso-position-horizontal-relative:page;mso-position-vertical-relative:page" stroked="f">
            <v:textbox style="mso-next-textbox:#_x0000_s15490" inset="0,0,0,0">
              <w:txbxContent>
                <w:p w:rsidR="00122165" w:rsidRDefault="00122165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22165" w:rsidRDefault="00122165">
                  <w:pPr>
                    <w:pStyle w:val="OCRStyle2"/>
                    <w:ind w:left="47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91" o:spid="_x0000_s1031" type="#_x0000_t202" style="position:absolute;left:0;text-align:left;margin-left:237.8pt;margin-top:174.35pt;width:113.85pt;height:35.85pt;z-index:7;mso-position-horizontal-relative:page;mso-position-vertical-relative:page" stroked="f">
            <v:textbox style="mso-next-textbox:#_x0000_s15491" inset="0,0,0,0">
              <w:txbxContent>
                <w:p w:rsidR="00122165" w:rsidRDefault="00122165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22165" w:rsidRDefault="00122165">
                  <w:pPr>
                    <w:pStyle w:val="OCRStyle2"/>
                    <w:ind w:left="5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92" o:spid="_x0000_s1032" type="#_x0000_t202" style="position:absolute;left:0;text-align:left;margin-left:379.95pt;margin-top:206.8pt;width:109.9pt;height:31.7pt;z-index:6;mso-position-horizontal-relative:page;mso-position-vertical-relative:page" stroked="f">
            <v:textbox style="mso-next-textbox:#_x0000_s15492" inset="0,0,0,0">
              <w:txbxContent>
                <w:p w:rsidR="00122165" w:rsidRDefault="00122165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22165" w:rsidRDefault="00122165">
                  <w:pPr>
                    <w:pStyle w:val="OCRStyle2"/>
                    <w:ind w:left="6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93" o:spid="_x0000_s1033" type="#_x0000_t202" style="position:absolute;left:0;text-align:left;margin-left:127.1pt;margin-top:67.8pt;width:427.7pt;height:94.05pt;z-index:5;mso-position-horizontal-relative:page;mso-position-vertical-relative:page" stroked="f">
            <v:textbox style="mso-next-textbox:#_x0000_s15493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84"/>
                    <w:gridCol w:w="1292"/>
                  </w:tblGrid>
                  <w:tr w:rsidR="00122165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122165" w:rsidRDefault="001221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בפרט 37, בפסקה (ג&gt; -</w:t>
                        </w:r>
                      </w:p>
                      <w:p w:rsidR="00122165" w:rsidRDefault="001221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"יהיה המס על העברת מניות" יבוא "או סטוק";</w:t>
                        </w:r>
                      </w:p>
                      <w:p w:rsidR="00122165" w:rsidRDefault="001221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"חמישה למאה" יבוא "שלושה וחצי למאה".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122165" w:rsidRDefault="0012216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22165" w:rsidRPr="00122165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122165" w:rsidRDefault="001221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.תחילתו של חוק זה היא בתום שלושים יום מיום קבלתו בכנסת.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122165" w:rsidRPr="00122165" w:rsidRDefault="001221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</w:tc>
                  </w:tr>
                </w:tbl>
                <w:p w:rsidR="00122165" w:rsidRDefault="0012216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40B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2B0791-43CD-40F8-82D2-491B62AA1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0B1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2216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2008-04-06T19:19:00Z</dcterms:created>
  <dcterms:modified xsi:type="dcterms:W3CDTF">2008-04-06T19:19:00Z</dcterms:modified>
</cp:coreProperties>
</file>