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ED0711" w:rsidRDefault="00ED0711">
      <w:pPr>
        <w:rPr>
          <w:rtl/>
        </w:rPr>
      </w:pPr>
    </w:p>
    <w:p w:rsidR="00ED0711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5539" o:spid="_x0000_s1025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15539" inset="0,0,0,0">
              <w:txbxContent>
                <w:p w:rsidR="00ED0711" w:rsidRDefault="00ED0711">
                  <w:r>
                    <w:rPr>
                      <w:rtl/>
                    </w:rPr>
                    <w:t>136                                          ספר החוקים 972                  כ"א בסיוון התש"מ 05.06.1980</w:t>
                  </w:r>
                </w:p>
              </w:txbxContent>
            </v:textbox>
            <w10:wrap anchorx="page" anchory="page"/>
          </v:shape>
        </w:pict>
      </w:r>
      <w:r>
        <w:pict>
          <v:shape id="_x0000_s15540" o:spid="_x0000_s1026" type="#_x0000_t202" style="position:absolute;left:0;text-align:left;margin-left:86.6pt;margin-top:374.5pt;width:401.95pt;height:47.3pt;z-index:6;mso-position-horizontal-relative:page;mso-position-vertical-relative:page" stroked="f">
            <v:textbox style="mso-next-textbox:#_x0000_s15540" inset="0,0,0,0">
              <w:txbxContent>
                <w:p w:rsidR="00ED0711" w:rsidRDefault="00ED0711">
                  <w:pPr>
                    <w:pStyle w:val="OCRStyle1"/>
                    <w:ind w:left="302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י"א בסיון תשים (26 במאי 1980); הצעת החוק ודברי הסבר פורסמו בה"ח 1448, תשים, עמ'</w:t>
                  </w:r>
                </w:p>
                <w:p w:rsidR="00ED0711" w:rsidRDefault="00ED0711">
                  <w:pPr>
                    <w:pStyle w:val="OCRStyle1"/>
                    <w:ind w:left="418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183.</w:t>
                  </w:r>
                </w:p>
                <w:p w:rsidR="00ED0711" w:rsidRPr="00ED0711" w:rsidRDefault="00ED0711">
                  <w:pPr>
                    <w:pStyle w:val="OCRStyle1"/>
                    <w:ind w:left="302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ס"ח תשכ"א, עמ' .64</w:t>
                  </w:r>
                </w:p>
              </w:txbxContent>
            </v:textbox>
            <w10:wrap anchorx="page" anchory="page"/>
          </v:shape>
        </w:pict>
      </w:r>
      <w:r>
        <w:pict>
          <v:shape id="_x0000_s15541" o:spid="_x0000_s1027" type="#_x0000_t202" style="position:absolute;left:0;text-align:left;margin-left:107.2pt;margin-top:303.8pt;width:110.1pt;height:41.4pt;z-index:5;mso-position-horizontal-relative:page;mso-position-vertical-relative:page" stroked="f">
            <v:textbox style="mso-next-textbox:#_x0000_s15541" inset="0,0,0,0">
              <w:txbxContent>
                <w:p w:rsidR="00ED0711" w:rsidRDefault="00ED0711">
                  <w:pPr>
                    <w:pStyle w:val="OCRStyle1"/>
                    <w:ind w:left="194"/>
                    <w:rPr>
                      <w:rtl/>
                    </w:rPr>
                  </w:pPr>
                  <w:r>
                    <w:rPr>
                      <w:rtl/>
                    </w:rPr>
                    <w:t>יגאל הורביץ</w:t>
                  </w:r>
                </w:p>
                <w:p w:rsidR="00ED0711" w:rsidRDefault="00ED0711">
                  <w:pPr>
                    <w:pStyle w:val="OCRStyle1"/>
                    <w:ind w:left="490"/>
                  </w:pPr>
                  <w:r>
                    <w:rPr>
                      <w:rtl/>
                    </w:rPr>
                    <w:t>שר האוצר</w:t>
                  </w:r>
                </w:p>
              </w:txbxContent>
            </v:textbox>
            <w10:wrap anchorx="page" anchory="page"/>
          </v:shape>
        </w:pict>
      </w:r>
      <w:r>
        <w:pict>
          <v:shape id="_x0000_s15542" o:spid="_x0000_s1028" type="#_x0000_t202" style="position:absolute;left:0;text-align:left;margin-left:242.45pt;margin-top:306.35pt;width:97.2pt;height:38.8pt;z-index:4;mso-position-horizontal-relative:page;mso-position-vertical-relative:page" stroked="f">
            <v:textbox style="mso-next-textbox:#_x0000_s15542" inset="0,0,0,0">
              <w:txbxContent>
                <w:p w:rsidR="00ED0711" w:rsidRDefault="00ED0711">
                  <w:pPr>
                    <w:pStyle w:val="OCRStyle1"/>
                    <w:ind w:left="371"/>
                    <w:rPr>
                      <w:rtl/>
                    </w:rPr>
                  </w:pPr>
                  <w:r>
                    <w:rPr>
                      <w:rtl/>
                    </w:rPr>
                    <w:t>מנחם בגין</w:t>
                  </w:r>
                </w:p>
                <w:p w:rsidR="00ED0711" w:rsidRDefault="00ED0711">
                  <w:pPr>
                    <w:pStyle w:val="OCRStyle1"/>
                    <w:ind w:left="392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5543" o:spid="_x0000_s1029" type="#_x0000_t202" style="position:absolute;left:0;text-align:left;margin-left:390.35pt;margin-top:335.65pt;width:94.85pt;height:31.9pt;z-index:3;mso-position-horizontal-relative:page;mso-position-vertical-relative:page" stroked="f">
            <v:textbox style="mso-next-textbox:#_x0000_s15543" inset="0,0,0,0">
              <w:txbxContent>
                <w:p w:rsidR="00ED0711" w:rsidRDefault="00ED0711">
                  <w:pPr>
                    <w:pStyle w:val="OCRStyle1"/>
                    <w:ind w:left="320"/>
                    <w:rPr>
                      <w:rtl/>
                    </w:rPr>
                  </w:pPr>
                  <w:r>
                    <w:rPr>
                      <w:rtl/>
                    </w:rPr>
                    <w:t>יצחק נבון</w:t>
                  </w:r>
                </w:p>
                <w:p w:rsidR="00ED0711" w:rsidRDefault="00ED0711">
                  <w:pPr>
                    <w:pStyle w:val="OCRStyle1"/>
                    <w:ind w:left="371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5544" o:spid="_x0000_s1030" type="#_x0000_t202" style="position:absolute;left:0;text-align:left;margin-left:94.3pt;margin-top:245.2pt;width:462.15pt;height:58.6pt;z-index:2;mso-position-horizontal-relative:page;mso-position-vertical-relative:page" stroked="f">
            <v:textbox style="mso-next-textbox:#_x0000_s15544" inset="0,0,0,0">
              <w:txbxContent>
                <w:tbl>
                  <w:tblPr>
                    <w:tblW w:w="443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182"/>
                    <w:gridCol w:w="1220"/>
                  </w:tblGrid>
                  <w:tr w:rsidR="00ED0711" w:rsidRPr="00ED0711">
                    <w:trPr>
                      <w:jc w:val="right"/>
                    </w:trPr>
                    <w:tc>
                      <w:tcPr>
                        <w:tcW w:w="4274" w:type="pct"/>
                      </w:tcPr>
                      <w:p w:rsidR="00ED0711" w:rsidRDefault="00ED0711">
                        <w:pPr>
                          <w:pStyle w:val="OCRStyle1"/>
                          <w:rPr>
                            <w:sz w:val="24"/>
                            <w:szCs w:val="24"/>
                            <w:rtl/>
                          </w:rPr>
                        </w:pPr>
                        <w:r>
                          <w:rPr>
                            <w:sz w:val="24"/>
                            <w:szCs w:val="24"/>
                            <w:rtl/>
                          </w:rPr>
                          <w:t>1. בסעיף 7 לחוק מס הבולים על מסמכים, תשניא-11961, במקום הסיפה המתחילה</w:t>
                        </w:r>
                      </w:p>
                      <w:p w:rsidR="00ED0711" w:rsidRDefault="00ED071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במלים "לפי שער החליפין הרשמי" יבוא "לפי כללים שקבע שר האוצר, באישור ועדת</w:t>
                        </w:r>
                      </w:p>
                      <w:p w:rsidR="00ED0711" w:rsidRPr="00ED0711" w:rsidRDefault="00ED071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הכספים של הכנסת ולאחר התייעצות עם נגיד בנק ישראל".</w:t>
                        </w:r>
                      </w:p>
                    </w:tc>
                    <w:tc>
                      <w:tcPr>
                        <w:tcW w:w="726" w:type="pct"/>
                      </w:tcPr>
                      <w:p w:rsidR="00ED0711" w:rsidRPr="00ED0711" w:rsidRDefault="00ED0711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7</w:t>
                        </w:r>
                      </w:p>
                    </w:tc>
                  </w:tr>
                </w:tbl>
                <w:p w:rsidR="00ED0711" w:rsidRDefault="00ED0711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15545" o:spid="_x0000_s1031" type="#_x0000_t202" style="position:absolute;left:0;text-align:left;margin-left:145pt;margin-top:227.95pt;width:305.7pt;height:17.25pt;z-index:1;mso-position-horizontal-relative:page;mso-position-vertical-relative:page" stroked="f">
            <v:textbox style="mso-next-textbox:#_x0000_s15545" inset="0,0,0,0">
              <w:txbxContent>
                <w:p w:rsidR="00ED0711" w:rsidRPr="00ED0711" w:rsidRDefault="00ED0711">
                  <w:pPr>
                    <w:pStyle w:val="OCRStyle1"/>
                    <w:ind w:left="396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  <w:rtl/>
                    </w:rPr>
                    <w:t>חוק מס הבולים על מסמכים (תיקון), תש"ם-1980 *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ED0711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D0711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A88C19CD-2612-4C17-A6B3-A7A23B404E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ED0711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9</Characters>
  <Application>Microsoft Office Word</Application>
  <DocSecurity>4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2008-04-07T00:14:00Z</dcterms:created>
  <dcterms:modified xsi:type="dcterms:W3CDTF">2008-04-07T00:14:00Z</dcterms:modified>
</cp:coreProperties>
</file>